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A3591" w14:textId="430FE4A0" w:rsidR="00BD5DA4" w:rsidRPr="00BD5DA4" w:rsidRDefault="00BD5DA4" w:rsidP="009D7AE1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5DA4">
        <w:rPr>
          <w:rFonts w:ascii="Times New Roman" w:eastAsia="Times New Roman" w:hAnsi="Times New Roman" w:cs="Times New Roman"/>
          <w:lang w:eastAsia="pl-PL"/>
        </w:rPr>
        <w:t>Załącznik B.33</w:t>
      </w:r>
    </w:p>
    <w:p w14:paraId="53BFF1F7" w14:textId="77777777" w:rsidR="009D7AE1" w:rsidRPr="009D7AE1" w:rsidRDefault="009D7AE1" w:rsidP="009D7AE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REUMATOIDALNEGO ZAPALENIA STAWÓW I MŁODZIEŃCZEGO IDIOPATYCZNEGO ZAPALENIA STAWÓW O PRZEBIEGU AGRESYWNYM  (ICD-10  M 05, M 06, M 08)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4606"/>
        <w:gridCol w:w="4379"/>
      </w:tblGrid>
      <w:tr w:rsidR="009D7AE1" w:rsidRPr="009D7AE1" w14:paraId="3D642C45" w14:textId="77777777" w:rsidTr="00CB2AC0">
        <w:trPr>
          <w:trHeight w:val="567"/>
        </w:trPr>
        <w:tc>
          <w:tcPr>
            <w:tcW w:w="0" w:type="auto"/>
            <w:gridSpan w:val="3"/>
            <w:vAlign w:val="center"/>
          </w:tcPr>
          <w:p w14:paraId="272B262C" w14:textId="77777777" w:rsidR="009D7AE1" w:rsidRPr="009D7AE1" w:rsidRDefault="009D7AE1" w:rsidP="00CB2A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9D7AE1" w:rsidRPr="009D7AE1" w14:paraId="7EBEBBA6" w14:textId="77777777" w:rsidTr="00CB2AC0">
        <w:trPr>
          <w:trHeight w:val="567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14:paraId="47031514" w14:textId="77777777" w:rsidR="009D7AE1" w:rsidRPr="009D7AE1" w:rsidRDefault="009D7AE1" w:rsidP="00CB2A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center"/>
          </w:tcPr>
          <w:p w14:paraId="102A5DE8" w14:textId="77777777" w:rsidR="00CB2AC0" w:rsidRDefault="009D7AE1" w:rsidP="00CB2A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SCHEMAT DAWKOWANIA LEKÓW </w:t>
            </w:r>
          </w:p>
          <w:p w14:paraId="5C4C7B14" w14:textId="446134FE" w:rsidR="009D7AE1" w:rsidRPr="009D7AE1" w:rsidRDefault="009D7AE1" w:rsidP="00CB2A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PROGRAMIE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1A8DCC" w14:textId="77777777" w:rsidR="009D7AE1" w:rsidRPr="009D7AE1" w:rsidRDefault="009D7AE1" w:rsidP="00CB2AC0">
            <w:pPr>
              <w:spacing w:after="0" w:line="276" w:lineRule="auto"/>
              <w:ind w:left="35" w:hanging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9D7AE1" w:rsidRPr="009D7AE1" w14:paraId="6EF58B5A" w14:textId="77777777" w:rsidTr="00CB2AC0">
        <w:trPr>
          <w:trHeight w:val="567"/>
        </w:trPr>
        <w:tc>
          <w:tcPr>
            <w:tcW w:w="0" w:type="auto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31C8E9" w14:textId="77777777" w:rsidR="009D7AE1" w:rsidRPr="009D7AE1" w:rsidRDefault="009D7AE1" w:rsidP="00CB2A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REUMATOIDALNE ZAPALENIE STAWÓW</w:t>
            </w:r>
          </w:p>
        </w:tc>
      </w:tr>
      <w:tr w:rsidR="009D7AE1" w:rsidRPr="009D7AE1" w14:paraId="4E78B13B" w14:textId="77777777" w:rsidTr="00CB2AC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FED83" w14:textId="77777777" w:rsidR="009D7AE1" w:rsidRPr="009D7AE1" w:rsidRDefault="009D7AE1" w:rsidP="00CB2AC0">
            <w:pPr>
              <w:numPr>
                <w:ilvl w:val="0"/>
                <w:numId w:val="10"/>
              </w:numPr>
              <w:spacing w:after="0" w:line="276" w:lineRule="auto"/>
              <w:ind w:left="313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kwalifikacji:</w:t>
            </w:r>
          </w:p>
          <w:p w14:paraId="7B779121" w14:textId="62FB1FC0" w:rsidR="009D7AE1" w:rsidRPr="009D7AE1" w:rsidRDefault="009D7AE1" w:rsidP="00CB2A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pierwszej 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Zespołu Koordynacyjnego do Spraw Leczenia Biologicznego w Chorobach Reumatycznych, uzyskanej w inny sposób niż za pośrednictwem aplikacji SMPT.  Ponadto, gdy jest to zaznaczone w opisie programu, udział pacjenta może wymagać uzyskania indywidualnej zgody Zespołu, o którym mowa powyżej.</w:t>
            </w:r>
          </w:p>
          <w:p w14:paraId="35079753" w14:textId="77777777" w:rsidR="009D7AE1" w:rsidRPr="009D7AE1" w:rsidRDefault="009D7AE1" w:rsidP="00CB2AC0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inhibitorem TNF alfa albo tocilizumabem albo tofacytynibem</w:t>
            </w:r>
            <w:r w:rsidR="00A143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albo </w:t>
            </w:r>
            <w:r w:rsidR="00A1439C" w:rsidRPr="00C158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4A10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 się pacjentów</w:t>
            </w: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z rozpoznaniem RZS, u</w:t>
            </w:r>
            <w:r w:rsidR="0004660E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których nastąpiło niepowodzenie terapii co najmniej dwoma lekami modyfikującymi przebieg choroby/lekami immunosupresyjnymi, takimi jak metotreksat, leflunomid, sulfasalazyna oraz leki antymalaryczne, zgodnie z obowiązującymi zaleceniami EULAR, z których każdy zastosowany był przez co najmniej 4 miesiące w monoterapii lub terapii łączonej (w tym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</w:t>
            </w: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niepowodzeniu terapii metotreksatem w postaci doustnej lub podskórnej):</w:t>
            </w:r>
          </w:p>
          <w:p w14:paraId="7F451A33" w14:textId="77777777" w:rsidR="009D7AE1" w:rsidRPr="009D7AE1" w:rsidRDefault="009D7AE1" w:rsidP="00CB2AC0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dużą aktywnością choroby, udokumentowaną w trakcie dwóch badań lekarskich w odstępie 1-3 miesięcy. Dużą aktywność choroby stwierdza się, gdy jest spełnione jedno z poniższych kryteriów: </w:t>
            </w:r>
          </w:p>
          <w:p w14:paraId="190B0892" w14:textId="77777777" w:rsidR="009D7AE1" w:rsidRPr="009D7AE1" w:rsidRDefault="009D7AE1" w:rsidP="00CB2AC0">
            <w:pPr>
              <w:numPr>
                <w:ilvl w:val="0"/>
                <w:numId w:val="12"/>
              </w:numPr>
              <w:spacing w:after="0" w:line="276" w:lineRule="auto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DAS 28 – większa niż 5,1 albo </w:t>
            </w:r>
          </w:p>
          <w:p w14:paraId="57548E32" w14:textId="77777777" w:rsidR="009D7AE1" w:rsidRPr="009D7AE1" w:rsidRDefault="009D7AE1" w:rsidP="00CB2AC0">
            <w:pPr>
              <w:numPr>
                <w:ilvl w:val="0"/>
                <w:numId w:val="12"/>
              </w:numPr>
              <w:spacing w:after="0" w:line="276" w:lineRule="auto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DAS  –  większa niż 3,7 albo </w:t>
            </w:r>
          </w:p>
          <w:p w14:paraId="61E0071A" w14:textId="77777777" w:rsidR="009D7AE1" w:rsidRPr="009D7AE1" w:rsidRDefault="009D7AE1" w:rsidP="00CB2AC0">
            <w:pPr>
              <w:numPr>
                <w:ilvl w:val="0"/>
                <w:numId w:val="12"/>
              </w:numPr>
              <w:spacing w:after="0" w:line="276" w:lineRule="auto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SDAI – większa niż 26 lub</w:t>
            </w:r>
          </w:p>
          <w:p w14:paraId="6A7D62B5" w14:textId="77777777" w:rsidR="009D7AE1" w:rsidRPr="009D7AE1" w:rsidRDefault="009D7AE1" w:rsidP="00CB2AC0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innymi postaciami RZS, niezależnie od wartości DAS 28, DAS, SDAI, tj.: </w:t>
            </w:r>
          </w:p>
          <w:p w14:paraId="6740BA07" w14:textId="77777777" w:rsidR="009D7AE1" w:rsidRPr="009D7AE1" w:rsidRDefault="009D7AE1" w:rsidP="00CB2AC0">
            <w:pPr>
              <w:numPr>
                <w:ilvl w:val="0"/>
                <w:numId w:val="13"/>
              </w:numPr>
              <w:spacing w:after="0" w:line="276" w:lineRule="auto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postacią uogólnioną (Zespół Stilla u dorosłych) lub</w:t>
            </w:r>
          </w:p>
          <w:p w14:paraId="392D9D8C" w14:textId="77777777" w:rsidR="009D7AE1" w:rsidRPr="009D7AE1" w:rsidRDefault="009D7AE1" w:rsidP="00CB2AC0">
            <w:pPr>
              <w:numPr>
                <w:ilvl w:val="0"/>
                <w:numId w:val="13"/>
              </w:numPr>
              <w:spacing w:after="0" w:line="276" w:lineRule="auto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RZS z wtórną amyloidozą lub </w:t>
            </w:r>
          </w:p>
          <w:p w14:paraId="2601D921" w14:textId="77777777" w:rsidR="009D7AE1" w:rsidRPr="009D7AE1" w:rsidRDefault="009D7AE1" w:rsidP="00CB2AC0">
            <w:pPr>
              <w:numPr>
                <w:ilvl w:val="0"/>
                <w:numId w:val="13"/>
              </w:numPr>
              <w:spacing w:after="0" w:line="276" w:lineRule="auto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RZS z towarzyszącym zapaleniem naczyń. </w:t>
            </w:r>
          </w:p>
          <w:p w14:paraId="2FF39597" w14:textId="77777777" w:rsidR="009D7AE1" w:rsidRPr="009D7AE1" w:rsidRDefault="009D7AE1" w:rsidP="00CB2AC0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inhibitorem TNF alfa kwalifikują się, bez konieczności spełnienia kryterium pkt 1 ppkt 2a) części dotyczącej RZS niniejszego programu, pacjenci poddani leczeniu RZS w ramach programów lekowych:</w:t>
            </w:r>
          </w:p>
          <w:p w14:paraId="2EBE8A16" w14:textId="77777777" w:rsidR="009D7AE1" w:rsidRPr="009D7AE1" w:rsidRDefault="009D7AE1" w:rsidP="00CB2AC0">
            <w:pPr>
              <w:numPr>
                <w:ilvl w:val="0"/>
                <w:numId w:val="3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 lub dwoma inhibitorami TNF alfa lub tocilizumabem lub tofacytynibem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07B8" w:rsidRPr="00C158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baricytinbem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5EC44BBA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lub </w:t>
            </w:r>
          </w:p>
          <w:p w14:paraId="2B9A0154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4E31B66D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6430554D" w14:textId="77777777" w:rsidR="009D7AE1" w:rsidRPr="009D7AE1" w:rsidRDefault="009D7AE1" w:rsidP="00CB2AC0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 trzeciego inhibitora TNF alfa w programach lekowych dotyczących leczenia RZS możliwe jest tylko i wyłącznie w przypadku, kiedy przyczyną odstawienia pierwszego i/lub drugiego leku z tej grupy u danego pacjenta były objawy nietolerancji i/lub działania niepożądane, których w opinii lekarza prowadzącego na podstawie dostępnej wiedzy medycznej można uniknąć stosując inny lek z grupy inhibitorów TNF alfa.</w:t>
            </w:r>
          </w:p>
          <w:p w14:paraId="2D4565C8" w14:textId="77777777" w:rsidR="009D7AE1" w:rsidRPr="009D7AE1" w:rsidRDefault="009D7AE1" w:rsidP="00CB2AC0">
            <w:pPr>
              <w:numPr>
                <w:ilvl w:val="0"/>
                <w:numId w:val="3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rytuksymabem, u których:</w:t>
            </w:r>
          </w:p>
          <w:p w14:paraId="5A5E7854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 lub </w:t>
            </w:r>
          </w:p>
          <w:p w14:paraId="753B2413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dostosowywania dawki leku zgodnie z ChPL lub</w:t>
            </w:r>
          </w:p>
          <w:p w14:paraId="78E3ECE0" w14:textId="77777777" w:rsidR="009D7AE1" w:rsidRPr="009D7AE1" w:rsidRDefault="009D7AE1" w:rsidP="00CB2AC0">
            <w:pPr>
              <w:numPr>
                <w:ilvl w:val="0"/>
                <w:numId w:val="38"/>
              </w:numPr>
              <w:spacing w:after="0" w:line="276" w:lineRule="auto"/>
              <w:ind w:left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5B0356DE" w14:textId="77777777" w:rsidR="009D7AE1" w:rsidRPr="009D7AE1" w:rsidRDefault="009D7AE1" w:rsidP="00CB2AC0">
            <w:pPr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do terapii inhibitorem TNF alfa po wcześniejszym leczeniu rytuksymabem jest możliwa dopiero po upływie 6 miesięcy od podania ostatniej dawki rytuksymabu z uwzględnieniem potencjalnego ryzyka i korzyści.</w:t>
            </w:r>
          </w:p>
          <w:p w14:paraId="2A28687A" w14:textId="77777777" w:rsidR="009D7AE1" w:rsidRPr="009D7AE1" w:rsidRDefault="009D7AE1" w:rsidP="00CB2AC0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terapii tocilizumabem kwalifikują się, bez konieczności spełnienia kryterium pkt 1 ppkt 2a) części dotyczącej RZS niniejszego programu, pacjenci poddani leczeniu RZS w ramach programów lekowych: </w:t>
            </w:r>
          </w:p>
          <w:p w14:paraId="6B3CE463" w14:textId="77777777" w:rsidR="009D7AE1" w:rsidRPr="009D7AE1" w:rsidRDefault="009D7AE1" w:rsidP="00CB2AC0">
            <w:pPr>
              <w:numPr>
                <w:ilvl w:val="0"/>
                <w:numId w:val="34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 dwoma lub trzema inhibitorami TNF alfa lub tofacytynibem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79BD" w:rsidRPr="00226B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1A12A287" w14:textId="77777777" w:rsidR="009D7AE1" w:rsidRPr="009D7AE1" w:rsidRDefault="009D7AE1" w:rsidP="00CB2AC0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 lub </w:t>
            </w:r>
          </w:p>
          <w:p w14:paraId="57F1D28F" w14:textId="77777777" w:rsidR="009D7AE1" w:rsidRPr="009D7AE1" w:rsidRDefault="009D7AE1" w:rsidP="00CB2AC0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dostosowywania dawki leku zgodnie z ChPL lub</w:t>
            </w:r>
          </w:p>
          <w:p w14:paraId="732796A8" w14:textId="77777777" w:rsidR="009D7AE1" w:rsidRPr="009D7AE1" w:rsidRDefault="009D7AE1" w:rsidP="00CB2AC0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RZS);</w:t>
            </w:r>
          </w:p>
          <w:p w14:paraId="50CB9BA6" w14:textId="77777777" w:rsidR="009D7AE1" w:rsidRPr="009D7AE1" w:rsidRDefault="009D7AE1" w:rsidP="00CB2AC0">
            <w:pPr>
              <w:numPr>
                <w:ilvl w:val="0"/>
                <w:numId w:val="34"/>
              </w:numPr>
              <w:spacing w:after="0" w:line="276" w:lineRule="auto"/>
              <w:ind w:left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rytuksymabem, u których:</w:t>
            </w:r>
          </w:p>
          <w:p w14:paraId="2E1F0972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lub </w:t>
            </w:r>
          </w:p>
          <w:p w14:paraId="77BA2198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3AA7B37D" w14:textId="77777777" w:rsidR="009D7AE1" w:rsidRPr="009D7AE1" w:rsidRDefault="009D7AE1" w:rsidP="00CB2AC0">
            <w:pPr>
              <w:numPr>
                <w:ilvl w:val="0"/>
                <w:numId w:val="38"/>
              </w:numPr>
              <w:spacing w:after="0" w:line="276" w:lineRule="auto"/>
              <w:ind w:left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4E9D9235" w14:textId="77777777" w:rsidR="009D7AE1" w:rsidRPr="009D7AE1" w:rsidRDefault="009D7AE1" w:rsidP="00CB2AC0">
            <w:pPr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do terapii tocilizumabem po wcześniejszym leczeniu rytuksymabem jest możliwa dopiero po upływie 6 miesięcy od podania ostatniej dawki rytuksymabu z uwzględnieniem potencjalnego ryzyka i korzyści.</w:t>
            </w:r>
          </w:p>
          <w:p w14:paraId="0DFEE641" w14:textId="77777777" w:rsidR="009D7AE1" w:rsidRPr="009D7AE1" w:rsidRDefault="009D7AE1" w:rsidP="00CB2AC0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rytuksymabem  kwalifikują się, bez konieczności spełnienia kryterium pkt 1 ppkt 2a) części dotyczącej RZS niniejszego programu, pacjenci poddani leczeniu RZS w ramach programów lekowych:</w:t>
            </w:r>
          </w:p>
          <w:p w14:paraId="06D40DC7" w14:textId="77777777" w:rsidR="009D7AE1" w:rsidRPr="009D7AE1" w:rsidRDefault="009D7AE1" w:rsidP="00CB2AC0">
            <w:pPr>
              <w:numPr>
                <w:ilvl w:val="0"/>
                <w:numId w:val="39"/>
              </w:numPr>
              <w:spacing w:after="0" w:line="276" w:lineRule="auto"/>
              <w:ind w:left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 dwoma lub trzema inhibitorami TNF alfa lub tocilizumabem lub tofacytynibem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FF5" w:rsidRPr="00226B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10214DAF" w14:textId="77777777" w:rsidR="009D7AE1" w:rsidRPr="009D7AE1" w:rsidRDefault="009D7AE1" w:rsidP="00CB2AC0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 lub </w:t>
            </w:r>
          </w:p>
          <w:p w14:paraId="68ADE380" w14:textId="77777777" w:rsidR="009D7AE1" w:rsidRPr="009D7AE1" w:rsidRDefault="009D7AE1" w:rsidP="00CB2AC0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dostosowywania dawki leku zgodnie z ChPL lub</w:t>
            </w:r>
          </w:p>
          <w:p w14:paraId="71FD96CA" w14:textId="77777777" w:rsidR="009D7AE1" w:rsidRPr="009D7AE1" w:rsidRDefault="009D7AE1" w:rsidP="00CB2AC0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288EB5CD" w14:textId="77777777" w:rsidR="009D7AE1" w:rsidRPr="009D7AE1" w:rsidRDefault="009D7AE1" w:rsidP="00CB2AC0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tofacytynibem kwalifikują się, bez konieczności spełnienia kryterium pkt 1 ppkt 2a) części dotyczącej RZS niniejszego programu, pacjenci poddani leczeniu RZS w ramach programów lekowych:</w:t>
            </w:r>
          </w:p>
          <w:p w14:paraId="05E13B0A" w14:textId="6529C9AE" w:rsidR="009D7AE1" w:rsidRPr="009D7AE1" w:rsidRDefault="009D7AE1" w:rsidP="00CB2AC0">
            <w:pPr>
              <w:numPr>
                <w:ilvl w:val="0"/>
                <w:numId w:val="42"/>
              </w:numPr>
              <w:spacing w:after="0" w:line="276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 lub trzema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inhibitorami TNF alfa lub tocilizumabem lub rytuksymabem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baricytynibem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2CA29FA3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lub </w:t>
            </w:r>
          </w:p>
          <w:p w14:paraId="75D3021C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3B04DA78" w14:textId="77777777" w:rsidR="009D7AE1" w:rsidRPr="009D7AE1" w:rsidRDefault="009D7AE1" w:rsidP="00CB2AC0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54DCB8B4" w14:textId="2459093C" w:rsidR="005441A9" w:rsidRPr="004144A9" w:rsidRDefault="009D7AE1" w:rsidP="00CB2AC0">
            <w:pPr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do terapii tofacytynibem po wcześniejszym leczeniu rytuksymabem jest możliwa dopiero po upływie co najmniej 6 miesięcy od podania ostatniej dawki rytuksymabu z uwzględnieniem potencjalnego ryzyka i korzyści.</w:t>
            </w:r>
          </w:p>
          <w:p w14:paraId="32A6C0A9" w14:textId="6B395EBD" w:rsidR="00C134CF" w:rsidRDefault="009D7AE1" w:rsidP="00CB2AC0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ramach programów lekowych dotyczących leczenia RZS nie jest możliwe zastosowanie więcej niż 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siedmiu 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leków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tym pięciu leków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biologicznych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C205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9D2AF5"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tym nie więcej niż dwóch inhibitorów TNF alfa w przypadku ich nieskuteczności oraz więcej niż trzech inhibitorów TNF alfa, jeśli przyczyną odstawienia przynajmniej jednego z nich była nietolerancja lub działania niepożądane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z zastrzeżeniem, że baricytynib może być zastosowany wyłąc</w:t>
            </w:r>
            <w:r w:rsidR="007F17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znie w pierwszej linii leczenia.</w:t>
            </w:r>
          </w:p>
          <w:p w14:paraId="4239E31E" w14:textId="77777777" w:rsidR="00C134CF" w:rsidRDefault="009D7AE1" w:rsidP="00CB2AC0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nie dopuszcza się możliwości ponownej kwalifikacji do terapii substancją czynną, którą pacjent był leczony w przeszłości nieskutecznie.</w:t>
            </w:r>
          </w:p>
          <w:p w14:paraId="41CAD9EE" w14:textId="77777777" w:rsidR="00C134CF" w:rsidRDefault="009D7AE1" w:rsidP="00CB2AC0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pacjenta do drugiego leku i kolejnych w ramach programu lekowego nie wymaga zgody Zespołu Koordynacyjnego, jeśli jest zgodna z opisem programu.</w:t>
            </w:r>
          </w:p>
          <w:p w14:paraId="1E1745BF" w14:textId="77777777" w:rsidR="00C134CF" w:rsidRDefault="009D7AE1" w:rsidP="00CB2AC0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4B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przypadkach, w których pacjentowi grozi kalectwo lub zagrożone jest jego życie, decyzją Zespołu Koordynacyjnego do Spraw Leczenia Biologicznego w Chorobach Reumatycznych, pacjent może być zakwalifikowany do leczenia biologicznego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39D6" w:rsidRPr="00344B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44B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niespełnienia części kryteriów opisanych w programie, jeśli leczenie jest zgodne z aktualnie obowiązującymi rekomendacjami oraz wiedzą medyczną.</w:t>
            </w:r>
          </w:p>
          <w:p w14:paraId="7DDB7265" w14:textId="77777777" w:rsidR="00C134CF" w:rsidRDefault="009D7AE1" w:rsidP="00CB2AC0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urodzeń, zgodnie z Charakterystyką Produktu Leczniczego, którym odbywa się leczenie.</w:t>
            </w:r>
          </w:p>
          <w:p w14:paraId="66C08DDE" w14:textId="77777777" w:rsidR="009D7AE1" w:rsidRPr="009D7AE1" w:rsidRDefault="009D7AE1" w:rsidP="00CB2AC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0F5D30" w14:textId="77777777" w:rsidR="009D7AE1" w:rsidRPr="009D7AE1" w:rsidRDefault="009D7AE1" w:rsidP="00CB2AC0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stanowiące przeciwwskazania do udziału w programie:</w:t>
            </w:r>
          </w:p>
          <w:p w14:paraId="5C769E40" w14:textId="77777777" w:rsidR="009D7AE1" w:rsidRPr="009D7AE1" w:rsidRDefault="009D7AE1" w:rsidP="00CB2A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Przeciwwskazania do udziału w programie wynikają z przeciwwskazań do stosowania określonych w Charakterystykach Produktów Leczniczych poszczególnych substancji czynnych ujętych w programie lekowym, z uwzględnieniem rekomendacji EULAR/ACR.</w:t>
            </w:r>
          </w:p>
          <w:p w14:paraId="4DA1F6B5" w14:textId="77777777" w:rsidR="009D7AE1" w:rsidRPr="009D7AE1" w:rsidRDefault="009D7AE1" w:rsidP="00CB2AC0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leczenia w programie:</w:t>
            </w:r>
          </w:p>
          <w:p w14:paraId="59826873" w14:textId="77777777" w:rsidR="009D7AE1" w:rsidRPr="009D7AE1" w:rsidRDefault="009D7AE1" w:rsidP="00CB2AC0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Kryteria kwalifikacji i wyłączenia z programu określają czas leczenia w programie. </w:t>
            </w:r>
          </w:p>
          <w:p w14:paraId="7AEDF6CA" w14:textId="77777777" w:rsidR="009D7AE1" w:rsidRPr="009D7AE1" w:rsidRDefault="009D7AE1" w:rsidP="00CB2AC0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leczenia daną substancją czynną w ramach programu  przy pierwszym podawaniu leku biologicznego lub tofacytynibu</w:t>
            </w:r>
            <w:r w:rsidR="00066C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E4524" w:rsidRPr="00C205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baricytynibu</w:t>
            </w:r>
            <w:r w:rsidR="00066C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może być dłuższy niż 18 miesięcy, z zastrzeżeniem pkt 5 ppkt 1 w części dotyczącej RZS niniejszego programu.</w:t>
            </w:r>
          </w:p>
          <w:p w14:paraId="16219C9F" w14:textId="77777777" w:rsidR="009D7AE1" w:rsidRPr="009D7AE1" w:rsidRDefault="009D7AE1" w:rsidP="00CB2AC0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14:paraId="22822F58" w14:textId="77777777" w:rsidR="009D7AE1" w:rsidRPr="009D7AE1" w:rsidRDefault="009D7AE1" w:rsidP="00CB2AC0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Ograniczenie czasu leczenia w programie wynikające z pkt 3 ppkt 2 oraz pkt 4 ppkt 4 nie dotyczy pacjentów leczonych rytuksymabem z uwagi na inny schemat podawania leku i oceny skuteczności, które zostały określone w Charakterystyce Produktu Leczniczego oraz rekomendacjach EULAR.</w:t>
            </w:r>
          </w:p>
          <w:p w14:paraId="775F038E" w14:textId="77777777" w:rsidR="009D7AE1" w:rsidRPr="009D7AE1" w:rsidRDefault="009D7AE1" w:rsidP="00CB2AC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184E75" w14:textId="77777777" w:rsidR="009D7AE1" w:rsidRPr="009D7AE1" w:rsidRDefault="009D7AE1" w:rsidP="00CB2AC0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wyłączenia z programu:</w:t>
            </w:r>
          </w:p>
          <w:p w14:paraId="26869953" w14:textId="77777777" w:rsidR="009D7AE1" w:rsidRPr="009D7AE1" w:rsidRDefault="009D7AE1" w:rsidP="00CB2AC0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stwierdzenie po 3 miesiącach (± 14 dni) od pierwszego podania inhibitora TNF alfa albo tocilizumabu albo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65BA7" w:rsidRPr="00C205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 baricytynibu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 co najmniej umiarkowanej aktywności choroby mierzonej wskaźnikiem DAS 28 ≤ 5,1 albo DAS ≤3,7, albo SDAI ≤ 26;</w:t>
            </w:r>
          </w:p>
          <w:p w14:paraId="14B4CF2F" w14:textId="77777777" w:rsidR="009D7AE1" w:rsidRPr="009D7AE1" w:rsidRDefault="009D7AE1" w:rsidP="00CB2AC0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stwierdzenie po 6 miesiącach (± 28 dni) od pierwszego podania substancj</w:t>
            </w:r>
            <w:r w:rsidR="00390D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czynnej leku biologiczneg</w:t>
            </w:r>
            <w:r w:rsidR="00390D64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albo </w:t>
            </w:r>
            <w:r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albo baricytynibu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 remisji lub niskiej aktywności choroby, gdy osiągnięcie w tym czasie remisji nie jest możliwe. Miernikiem niskiej aktywności choroby jest DAS 28 ≤ 3,2 albo DAS ≤2,4, albo SDAI ≤ 11. Miernikiem remisji jest wartość  DAS 28 ≤ 2,6 albo DAS ≤1,6, albo SDAI ≤ 3,3;</w:t>
            </w:r>
          </w:p>
          <w:p w14:paraId="777D033B" w14:textId="77777777" w:rsidR="009D7AE1" w:rsidRPr="009D7AE1" w:rsidRDefault="009D7AE1" w:rsidP="00CB2AC0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 adekwatnej odpowiedzi na leczenie, tj.: stwierdzenie w trakcie dwóch kolejnych wizyt monitorujących zaostrzenia tak, że pacjent przestaje spełniać kryteria remisji lub niskiej aktywności choroby, jeżeli uzyskanie remisji nie było możliwe;</w:t>
            </w:r>
          </w:p>
          <w:p w14:paraId="11F1E160" w14:textId="77777777" w:rsidR="009D7AE1" w:rsidRPr="009D7AE1" w:rsidRDefault="009D7AE1" w:rsidP="00CB2AC0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u</w:t>
            </w:r>
            <w:r w:rsidRPr="009D7AE1">
              <w:rPr>
                <w:rFonts w:ascii="(Użyj czcionki tekstu azjatycki" w:eastAsia="Times New Roman" w:hAnsi="(Użyj czcionki tekstu azjatycki" w:cs="Times New Roman" w:hint="eastAsia"/>
                <w:sz w:val="20"/>
                <w:szCs w:val="20"/>
                <w:lang w:eastAsia="pl-PL"/>
              </w:rPr>
              <w:t>trzymywanie</w:t>
            </w:r>
            <w:r w:rsidRPr="009D7AE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 się przez okres 12-15 miesięcy remisji lub niskiej aktywności choroby - jeżeli uzyskanie</w:t>
            </w:r>
            <w:r w:rsidR="007F17F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remisji nie było możliwe w ciągu pierwszych sześciu miesięcy terapii daną substancją czynną przy jej pierwszym podawaniu;</w:t>
            </w:r>
          </w:p>
          <w:p w14:paraId="075FEBEE" w14:textId="77777777" w:rsidR="009D7AE1" w:rsidRPr="009D7AE1" w:rsidRDefault="009D7AE1" w:rsidP="00CB2AC0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działań niepożądanych, które w opinii lekarza prowadzącego oraz zgodnie z Charakterystyką Produktu Leczniczego, którym prowadzona jest terapia, są przeciwwskazaniami do leczenia daną substancją czynną;</w:t>
            </w:r>
          </w:p>
          <w:p w14:paraId="05EACAF4" w14:textId="77777777" w:rsidR="009D7AE1" w:rsidRPr="009D7AE1" w:rsidRDefault="009D7AE1" w:rsidP="00CB2AC0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jeśli u chorego zaprzestano podawania leków z grupy inhibitorów TNF alfa lub tocilizumabu lub tofacytynibu</w:t>
            </w:r>
            <w:r w:rsidR="00A159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8B7" w:rsidRPr="000A785E">
              <w:rPr>
                <w:rFonts w:ascii="Times New Roman" w:hAnsi="Times New Roman" w:cs="Times New Roman"/>
                <w:sz w:val="20"/>
                <w:szCs w:val="20"/>
              </w:rPr>
              <w:t>lub baricytynibu</w:t>
            </w:r>
            <w:r w:rsidR="007F17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z powodu uzyskania niskiej aktywności choroby lub remisji i doszło u niego do nawrotu aktywnej choroby w okresie poniżej 12 tygodni, wtedy decyzja o długości leczenia, dawkowaniu i częstości podawania leku w programie po nawrocie i ponownym uzyskaniu niskiej aktywności choroby lub remisji, należy do lekarza prowadzącego;</w:t>
            </w:r>
          </w:p>
          <w:p w14:paraId="1B789CAE" w14:textId="77777777" w:rsidR="009D7AE1" w:rsidRPr="009D7AE1" w:rsidRDefault="009D7AE1" w:rsidP="00CB2AC0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lekarz prowadzący może zwrócić się do Zespołu Koordynacyjnego do Spraw Leczenia Biologicznego w Chorobach Reumatycznych o wyrażenie zgody na kontynuację leczenia daną substancją czynną w uzasadnionych sytuacjach klinicznych w przypadku nieuzyskania przez chorego niskiej aktywności choroby zgodnie z pkt 4 ppkt 2, szczególnie u pacjentów z wyjściową bardzo dużą aktywnością choroby i/lub występowaniem czynników złej prognozy. Bez zgody Zespołu Koordynacyjnego dalsze leczenie daną substancją czynną w przypadku braku uzyskania niskiej aktywności choroby po 6 miesiącach terapii nie jest możliwe.</w:t>
            </w:r>
          </w:p>
          <w:p w14:paraId="7D1F6EDD" w14:textId="77777777" w:rsidR="009D7AE1" w:rsidRPr="009D7AE1" w:rsidRDefault="009D7AE1" w:rsidP="00CB2AC0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D0235" w14:textId="77777777" w:rsidR="009D7AE1" w:rsidRPr="009D7AE1" w:rsidRDefault="009D7AE1" w:rsidP="00CB2AC0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ponownego włączenia do programu:</w:t>
            </w:r>
          </w:p>
          <w:p w14:paraId="547A70B6" w14:textId="77777777" w:rsidR="009D7AE1" w:rsidRPr="009D7AE1" w:rsidRDefault="009D7AE1" w:rsidP="00CB2AC0">
            <w:pPr>
              <w:numPr>
                <w:ilvl w:val="0"/>
                <w:numId w:val="1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 u którego zaprzestano podawania substancji czynnej leku biologicznego  lub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0C1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</w:t>
            </w:r>
            <w:r w:rsidR="000357FD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zastosowanej zgodnie z zapisami programu z powodu uzyskania remisji lub niskiej aktywności choroby i u którego w trakcie badania kontrolnego stwierdzono nawrót aktywnej choroby, jest włączany do leczenia w ramach programu bez kwalifikacji. </w:t>
            </w:r>
          </w:p>
          <w:p w14:paraId="7842DE90" w14:textId="77777777" w:rsidR="009D7AE1" w:rsidRPr="009D7AE1" w:rsidRDefault="009D7AE1" w:rsidP="00CB2AC0">
            <w:pPr>
              <w:numPr>
                <w:ilvl w:val="0"/>
                <w:numId w:val="1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 aktywnej choroby stwierdza się gdy, w stosunku do wartości obliczonej w momencie odstawienia substancji czynnej leku biologicznego  lub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57FD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baricytynibu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nastąpił wzrost wartości:</w:t>
            </w:r>
          </w:p>
          <w:p w14:paraId="38614275" w14:textId="77777777" w:rsidR="009D7AE1" w:rsidRPr="009D7AE1" w:rsidRDefault="009D7AE1" w:rsidP="00CB2AC0">
            <w:pPr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 28 o więcej niż 1,2, tak że jego wartość jest większa niż 3,2 albo</w:t>
            </w:r>
          </w:p>
          <w:p w14:paraId="063F5DFF" w14:textId="77777777" w:rsidR="009D7AE1" w:rsidRPr="009D7AE1" w:rsidRDefault="009D7AE1" w:rsidP="00CB2AC0">
            <w:pPr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DAS o więcej niż 1,2, tak że jego wartość jest większa niż 2,4 albo </w:t>
            </w:r>
          </w:p>
          <w:p w14:paraId="4805AACC" w14:textId="77777777" w:rsidR="009D7AE1" w:rsidRPr="009D7AE1" w:rsidRDefault="009D7AE1" w:rsidP="00CB2AC0">
            <w:pPr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 o więcej niż 5, tak że jego wartość jest większa niż 11.</w:t>
            </w:r>
          </w:p>
          <w:p w14:paraId="1C761F91" w14:textId="77777777" w:rsidR="009D7AE1" w:rsidRPr="009D7AE1" w:rsidRDefault="009D7AE1" w:rsidP="00CB2AC0">
            <w:pPr>
              <w:numPr>
                <w:ilvl w:val="0"/>
                <w:numId w:val="15"/>
              </w:numPr>
              <w:spacing w:after="0" w:line="276" w:lineRule="auto"/>
              <w:ind w:left="313" w:right="67" w:hanging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 jest włączany do ponownego leczenia substancją czynną, której zastosowanie wywołało co najmniej niską  aktywność choroby. </w:t>
            </w:r>
          </w:p>
          <w:p w14:paraId="7AA5ADC7" w14:textId="77777777" w:rsidR="009D7AE1" w:rsidRPr="009D7AE1" w:rsidRDefault="009D7AE1" w:rsidP="00CB2AC0">
            <w:pPr>
              <w:numPr>
                <w:ilvl w:val="0"/>
                <w:numId w:val="15"/>
              </w:numPr>
              <w:spacing w:after="0" w:line="276" w:lineRule="auto"/>
              <w:ind w:left="313" w:right="67" w:hanging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  <w:p w14:paraId="41089CA9" w14:textId="77777777" w:rsidR="009D7AE1" w:rsidRPr="009D7AE1" w:rsidRDefault="009D7AE1" w:rsidP="00CB2AC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14:paraId="026ED27E" w14:textId="77777777" w:rsidR="009D7AE1" w:rsidRPr="009D7AE1" w:rsidRDefault="009D7AE1" w:rsidP="00CB2AC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Dawkowanie:</w:t>
            </w:r>
          </w:p>
          <w:p w14:paraId="708DF01B" w14:textId="32BC2791" w:rsidR="009D7AE1" w:rsidRPr="009D7AE1" w:rsidRDefault="009D7AE1" w:rsidP="00CB2AC0">
            <w:pPr>
              <w:numPr>
                <w:ilvl w:val="0"/>
                <w:numId w:val="4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Inhibitory TNF </w:t>
            </w:r>
            <w:r w:rsidR="0082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alfa, tocilizumab,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rytuksymab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D95D33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baricytynib</w:t>
            </w:r>
            <w:r w:rsidR="004A10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35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tofacytynib</w:t>
            </w:r>
            <w:r w:rsidR="0068170D"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podawać zgodnie z dawkowaniem określonym w aktualnej</w:t>
            </w:r>
            <w:r w:rsidR="006A7C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harakterystyce Produktu Leczniczego z uwzględnieniem rekomendacji EULAR/ACR.</w:t>
            </w:r>
          </w:p>
          <w:p w14:paraId="10412ED4" w14:textId="77777777" w:rsidR="009D7AE1" w:rsidRPr="009D7AE1" w:rsidRDefault="009D7AE1" w:rsidP="00CB2AC0">
            <w:pPr>
              <w:numPr>
                <w:ilvl w:val="0"/>
                <w:numId w:val="4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 postaci dożylnej tocilizumabu na podskórną może być przeprowadzona wyłącznie zgodnie z wymaganiami o</w:t>
            </w:r>
            <w:bookmarkStart w:id="0" w:name="_GoBack"/>
            <w:bookmarkEnd w:id="0"/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kreślonymi w aktualnej Charakterystyce Produktu Leczniczego oraz pod nadzorem wykwalifikowanego personelu medycznego.</w:t>
            </w:r>
          </w:p>
          <w:p w14:paraId="2FAE3E87" w14:textId="77777777" w:rsidR="009D7AE1" w:rsidRPr="009D7AE1" w:rsidRDefault="009D7AE1" w:rsidP="00CB2AC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Powyższe leki podaje się z metotreksatem (w postaci doustnej lub podskórnej) w skutecznej klinicznie i tolerowanej przez chorego dawce, chyba, że występują przeciwwskazania do stosowania metotreksatu. </w:t>
            </w:r>
          </w:p>
          <w:p w14:paraId="4AA18DC5" w14:textId="77777777" w:rsidR="009D7AE1" w:rsidRPr="009D7AE1" w:rsidRDefault="009D7AE1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wystąpienia przeciwwskazań do stosowania metotreksatu należy rozważyć podawanie adalimumabu, certolizumabu pegol, etanerceptu, tocilizumabu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baricytynibu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tofacytynibu łącznie z sulfasalazyną lub leflunomidem w obowiązujących dawkach lub w monoterapii. </w:t>
            </w:r>
          </w:p>
          <w:p w14:paraId="32C89868" w14:textId="77777777" w:rsidR="009D7AE1" w:rsidRPr="009D7AE1" w:rsidRDefault="009D7AE1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8B9F74" w14:textId="77777777" w:rsidR="009D7AE1" w:rsidRPr="009D7AE1" w:rsidRDefault="009D7AE1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FE89" w14:textId="295DF8E8" w:rsidR="009D7AE1" w:rsidRPr="00D423E2" w:rsidRDefault="00D423E2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37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 przy</w:t>
            </w:r>
            <w:r w:rsidR="009D7AE1"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kwalifikacji do programu:</w:t>
            </w:r>
          </w:p>
          <w:p w14:paraId="08E175A3" w14:textId="77777777" w:rsidR="009D7AE1" w:rsidRPr="009D7AE1" w:rsidRDefault="009D7AE1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 reumatoidalny w surowicy lub aCCP  – kiedykolwiek w przeszłości;</w:t>
            </w:r>
          </w:p>
          <w:p w14:paraId="4C6A939B" w14:textId="77777777" w:rsidR="009D7AE1" w:rsidRPr="009D7AE1" w:rsidRDefault="009D7AE1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 tuberkulinowa lub test Quantiferon;</w:t>
            </w:r>
          </w:p>
          <w:p w14:paraId="2FAD6D4A" w14:textId="77777777" w:rsidR="009D7AE1" w:rsidRPr="009D7AE1" w:rsidRDefault="009D7AE1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antygenu HBs;</w:t>
            </w:r>
          </w:p>
          <w:p w14:paraId="2B466A67" w14:textId="77777777" w:rsidR="009D7AE1" w:rsidRPr="009D7AE1" w:rsidRDefault="009D7AE1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przeciwciała anty-HCV, a w przypadku pozytywnego wyniku – oznaczenie PCR HCV metodą ilościową; </w:t>
            </w:r>
          </w:p>
          <w:p w14:paraId="476CC5F0" w14:textId="77777777" w:rsidR="009D7AE1" w:rsidRPr="009D7AE1" w:rsidRDefault="009D7AE1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 wirusa HIV (HIV Ag/Ab Combo);</w:t>
            </w:r>
          </w:p>
          <w:p w14:paraId="32F25DD5" w14:textId="77777777" w:rsidR="009D7AE1" w:rsidRPr="009D7AE1" w:rsidRDefault="009D7AE1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 klatki piersiowej z opisem (maksymalnie do 6 miesięcy przed kwalifikacją);</w:t>
            </w:r>
          </w:p>
          <w:p w14:paraId="45F5ED34" w14:textId="77777777" w:rsidR="006A7CEE" w:rsidRDefault="009D7AE1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EKG z opisem.</w:t>
            </w:r>
          </w:p>
          <w:p w14:paraId="6CC98A79" w14:textId="0F197DCC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krwi, a w przypadku pacjentów kwalifikowanych do leczenia tocilizumabem lub baricytynibem lub tofacytynibem - morfologia krwi z rozmazem oraz oznaczeniem bezwzględnej liczby granulocytów obojętnochłonnych oraz limfocytów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7012ACE" w14:textId="77777777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2EA1DCE7" w14:textId="77777777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1A837A1C" w14:textId="77777777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3DAC339E" w14:textId="77777777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2EAC4605" w14:textId="77777777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asparaginianowa (AspAT);</w:t>
            </w:r>
          </w:p>
          <w:p w14:paraId="33590D65" w14:textId="77777777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alaninowa (AlAT);</w:t>
            </w:r>
          </w:p>
          <w:p w14:paraId="646B278D" w14:textId="7A6397A1" w:rsidR="006A7CEE" w:rsidRPr="00D423E2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ogólne moczu (do decyzji lekarza);</w:t>
            </w:r>
          </w:p>
          <w:p w14:paraId="2C559031" w14:textId="77777777" w:rsidR="006A7CEE" w:rsidRDefault="006A7CEE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7C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immunoglobulin G i M w surowicy - u pacjentów kwalifikowanych do leczenia rytuksymabem;</w:t>
            </w:r>
          </w:p>
          <w:p w14:paraId="75E0D763" w14:textId="10AA61D2" w:rsidR="000219B9" w:rsidRDefault="000219B9" w:rsidP="00CB2AC0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cholesterolu całkowitego, LDL, HDL,</w:t>
            </w:r>
            <w:r w:rsidRPr="000219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trójglicerydów - u pacjentów kwalifikowanych do leczenia tocilizumabem lub tofacytynibem lub baricytynibem.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AA7D24C" w14:textId="77777777" w:rsidR="007050E5" w:rsidRDefault="007050E5" w:rsidP="00CB2AC0">
            <w:pPr>
              <w:suppressAutoHyphens/>
              <w:snapToGrid w:val="0"/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094473" w14:textId="0687E5E3" w:rsidR="009D7AE1" w:rsidRPr="009D7AE1" w:rsidRDefault="000219B9" w:rsidP="00CB2AC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2. </w:t>
            </w:r>
            <w:r w:rsidR="009D7AE1"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leczenia:</w:t>
            </w:r>
          </w:p>
          <w:p w14:paraId="7F93DE98" w14:textId="77777777" w:rsidR="009D7AE1" w:rsidRPr="009D7AE1" w:rsidRDefault="009D7AE1" w:rsidP="00CB2AC0">
            <w:pPr>
              <w:numPr>
                <w:ilvl w:val="0"/>
                <w:numId w:val="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 terapii inhibitorem TNF alfa lub tocilizumabem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baricytynibem 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tofacytynibem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 90 dniach  (± 14 dni) i 180 dniach (± 28 dni) od pierwszego  podania substancji czynnej należy wykonać:</w:t>
            </w:r>
          </w:p>
          <w:p w14:paraId="66CF5FEF" w14:textId="02A8D572" w:rsidR="009D7AE1" w:rsidRPr="009D7AE1" w:rsidRDefault="009D7AE1" w:rsidP="00CB2AC0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 krwi, a w przypadku pacjentów leczonych tocilizumabem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baricytynibem lub tofacytynibem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 morfologia krwi z rozmazem oraz oznaczeniem bezwzględnej liczby granulocytów obojętnochłonnych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limfocytów </w:t>
            </w:r>
          </w:p>
          <w:p w14:paraId="3CA03143" w14:textId="77777777" w:rsidR="009D7AE1" w:rsidRPr="009D7AE1" w:rsidRDefault="009D7AE1" w:rsidP="00CB2AC0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688E9E38" w14:textId="77777777" w:rsidR="009D7AE1" w:rsidRPr="009D7AE1" w:rsidRDefault="009D7AE1" w:rsidP="00CB2AC0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4258C41A" w14:textId="77777777" w:rsidR="009D7AE1" w:rsidRPr="009D7AE1" w:rsidRDefault="009D7AE1" w:rsidP="00CB2AC0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6267F9A7" w14:textId="77777777" w:rsidR="009D7AE1" w:rsidRPr="009D7AE1" w:rsidRDefault="009D7AE1" w:rsidP="00CB2AC0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kreatyniny w surowicy;  </w:t>
            </w:r>
          </w:p>
          <w:p w14:paraId="49E15E33" w14:textId="77777777" w:rsidR="009D7AE1" w:rsidRPr="009D7AE1" w:rsidRDefault="009D7AE1" w:rsidP="00CB2AC0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 i AlAT;</w:t>
            </w:r>
          </w:p>
          <w:p w14:paraId="65E79EE5" w14:textId="77777777" w:rsidR="009D7AE1" w:rsidRPr="009D7AE1" w:rsidRDefault="009D7AE1" w:rsidP="00CB2AC0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leczonych tocilizumabem</w:t>
            </w:r>
            <w:r w:rsidR="00370A55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baricytynibem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tofacytynibem</w:t>
            </w:r>
            <w:r w:rsidR="00370A55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1C7A544" w14:textId="77777777" w:rsidR="009D7AE1" w:rsidRPr="009D7AE1" w:rsidRDefault="009D7AE1" w:rsidP="00CB2AC0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obliczyć wartość wskaźnika DAS 28 lub DAS lub SDAI, a także dokonać oceny skuteczności zastosowanej terapii. </w:t>
            </w:r>
          </w:p>
          <w:p w14:paraId="631BCEA9" w14:textId="77777777" w:rsidR="009D7AE1" w:rsidRPr="009D7AE1" w:rsidRDefault="009D7AE1" w:rsidP="00CB2AC0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terapia jest kontynuowana powyższe powtarzać po każdych kolejnych 180 dniach (± 28 dni).</w:t>
            </w:r>
          </w:p>
          <w:p w14:paraId="3CD402A3" w14:textId="77777777" w:rsidR="009D7AE1" w:rsidRPr="009D7AE1" w:rsidRDefault="009D7AE1" w:rsidP="00CB2AC0">
            <w:pPr>
              <w:numPr>
                <w:ilvl w:val="0"/>
                <w:numId w:val="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Monitorowanie terapii rytuksymabem - po 180 dniach (± 28 dni) od pierwszego podania substancji czynnej leku biologicznego należy wykonać: </w:t>
            </w:r>
          </w:p>
          <w:p w14:paraId="2C75FE82" w14:textId="77777777" w:rsidR="009D7AE1" w:rsidRPr="009D7AE1" w:rsidRDefault="009D7AE1" w:rsidP="00CB2AC0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morfologię krwi; </w:t>
            </w:r>
          </w:p>
          <w:p w14:paraId="45B18C28" w14:textId="77777777" w:rsidR="009D7AE1" w:rsidRPr="009D7AE1" w:rsidRDefault="009D7AE1" w:rsidP="00CB2AC0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475AA695" w14:textId="77777777" w:rsidR="009D7AE1" w:rsidRPr="009D7AE1" w:rsidRDefault="009D7AE1" w:rsidP="00CB2AC0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7BB589FA" w14:textId="77777777" w:rsidR="009D7AE1" w:rsidRPr="009D7AE1" w:rsidRDefault="009D7AE1" w:rsidP="00CB2AC0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kreatyniny w surowicy;  </w:t>
            </w:r>
          </w:p>
          <w:p w14:paraId="7E7B3294" w14:textId="77777777" w:rsidR="009D7AE1" w:rsidRPr="009D7AE1" w:rsidRDefault="009D7AE1" w:rsidP="00CB2AC0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 i AlAT;</w:t>
            </w:r>
          </w:p>
          <w:p w14:paraId="57505438" w14:textId="77777777" w:rsidR="009D7AE1" w:rsidRPr="009D7AE1" w:rsidRDefault="009D7AE1" w:rsidP="00CB2AC0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immunoglobulin G i M w surowicy</w:t>
            </w:r>
          </w:p>
          <w:p w14:paraId="3FBBDD4F" w14:textId="77777777" w:rsidR="009D7AE1" w:rsidRPr="009D7AE1" w:rsidRDefault="009D7AE1" w:rsidP="00CB2AC0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obliczyć wartość wskaźnika DAS 28 lub DAS lub SDAI, a także dokonać oceny skuteczności leczenia.</w:t>
            </w:r>
          </w:p>
          <w:p w14:paraId="78E7C3A9" w14:textId="0E8CE421" w:rsidR="009D7AE1" w:rsidRDefault="009D7AE1" w:rsidP="00CB2AC0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terapia jest powtarzana powyższe powtarzać po każdych kolejnych 180 dniach (± 28 dni) od ponownego podania leku.</w:t>
            </w:r>
          </w:p>
          <w:p w14:paraId="433B9E14" w14:textId="77777777" w:rsidR="007050E5" w:rsidRDefault="007050E5" w:rsidP="00CB2AC0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4A1FE1" w14:textId="32E14103" w:rsidR="009D7AE1" w:rsidRPr="00D423E2" w:rsidRDefault="00D423E2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  <w:r w:rsidR="007050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programu: </w:t>
            </w:r>
          </w:p>
          <w:p w14:paraId="2CB5F3C0" w14:textId="77777777" w:rsidR="009D7AE1" w:rsidRPr="009D7AE1" w:rsidRDefault="009D7AE1" w:rsidP="00CB2AC0">
            <w:pPr>
              <w:numPr>
                <w:ilvl w:val="0"/>
                <w:numId w:val="2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5B54CDB6" w14:textId="77777777" w:rsidR="009D7AE1" w:rsidRPr="009D7AE1" w:rsidRDefault="009D7AE1" w:rsidP="00CB2AC0">
            <w:pPr>
              <w:numPr>
                <w:ilvl w:val="0"/>
                <w:numId w:val="2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5F64AB76" w14:textId="77777777" w:rsidR="009D7AE1" w:rsidRPr="009D7AE1" w:rsidRDefault="009D7AE1" w:rsidP="00CB2AC0">
            <w:pPr>
              <w:numPr>
                <w:ilvl w:val="0"/>
                <w:numId w:val="2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3412C0BC" w14:textId="77777777" w:rsidR="009D7AE1" w:rsidRPr="009D7AE1" w:rsidRDefault="009D7AE1" w:rsidP="00CB2AC0">
            <w:pPr>
              <w:suppressAutoHyphens/>
              <w:spacing w:after="0" w:line="276" w:lineRule="auto"/>
              <w:ind w:left="4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D7AE1" w:rsidRPr="009D7AE1" w14:paraId="714F8DDB" w14:textId="77777777" w:rsidTr="00CB2AC0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0279" w14:textId="77777777" w:rsidR="009D7AE1" w:rsidRPr="009D7AE1" w:rsidRDefault="009D7AE1" w:rsidP="00CB2A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MŁODZIEŃCZE IDIOPATYCZNE ZAPALENIE STAWÓW</w:t>
            </w:r>
          </w:p>
        </w:tc>
      </w:tr>
      <w:tr w:rsidR="009D7AE1" w:rsidRPr="009D7AE1" w14:paraId="6CF9E4B9" w14:textId="77777777" w:rsidTr="00CB2AC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209B7" w14:textId="77777777" w:rsidR="009D7AE1" w:rsidRPr="009D7AE1" w:rsidRDefault="009D7AE1" w:rsidP="00CB2AC0">
            <w:pPr>
              <w:numPr>
                <w:ilvl w:val="0"/>
                <w:numId w:val="2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kwalifikacji:</w:t>
            </w:r>
          </w:p>
          <w:p w14:paraId="2D3B6E66" w14:textId="77777777" w:rsidR="009D7AE1" w:rsidRPr="009D7AE1" w:rsidRDefault="009D7AE1" w:rsidP="00CB2AC0">
            <w:pPr>
              <w:widowControl w:val="0"/>
              <w:numPr>
                <w:ilvl w:val="0"/>
                <w:numId w:val="21"/>
              </w:numPr>
              <w:tabs>
                <w:tab w:val="num" w:pos="1021"/>
              </w:tabs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CKBKDC+Arial" w:eastAsia="Times New Roman" w:hAnsi="CKBKDC+Arial" w:cs="CKBKDC+Arial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pierwszej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 Zespołu Koordynacyjnego do Spraw Leczenia Biologicznego w Chorobach Reumatycznych, uzyskanej w inny sposób niż za pośrednictwem aplikacji SMPT.</w:t>
            </w:r>
          </w:p>
          <w:p w14:paraId="5C070C61" w14:textId="77777777" w:rsidR="009D7AE1" w:rsidRPr="009D7AE1" w:rsidRDefault="009D7AE1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7"/>
              <w:rPr>
                <w:rFonts w:ascii="CKBKDC+Arial" w:eastAsia="Times New Roman" w:hAnsi="CKBKDC+Arial" w:cs="CKBKDC+Arial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 gdy jest to zaznaczone w opisie programu, udział pacjenta może wymagać uzyskania indywidualnej zgody Zespołu, o którym mowa powyżej.</w:t>
            </w:r>
          </w:p>
          <w:p w14:paraId="1572D077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kwalifikuje się pacjentów od 2 roku życia (do terapii adalimumabem  lub tocilizumabem</w:t>
            </w:r>
            <w:r w:rsidR="000572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albo od 4 roku życia (do terapii etanerceptem), spełniających kryteria rozpoznania:</w:t>
            </w:r>
          </w:p>
          <w:p w14:paraId="70B415EE" w14:textId="77777777" w:rsidR="009D7AE1" w:rsidRPr="009D7AE1" w:rsidRDefault="009D7AE1" w:rsidP="00CB2AC0">
            <w:pPr>
              <w:numPr>
                <w:ilvl w:val="0"/>
                <w:numId w:val="2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wielostawowej postaci  młodzieńczego idiopatycznego   zapalenia stawów (MIZS) z co najmniej 5 obrzękniętymi stawami  i co najmniej 3 stawami o ograniczonej ruchomości oraz bolesnością, przyspieszonym powyżej normy OB. lub CRP i oceną przez lekarza aktywności choroby na co najmniej 4 w 10-punktowej skali, mimo leczenia dwoma, wymienionymi w programie lekami modyfikującymi przebieg choroby/lekami immunosupresyjnymi w obowiązujących dawkach (w tym metotreksatem) przez minimum 3 miesiące każdym albo</w:t>
            </w:r>
          </w:p>
          <w:p w14:paraId="47BA4E36" w14:textId="77777777" w:rsidR="009D7AE1" w:rsidRPr="009D7AE1" w:rsidRDefault="009D7AE1" w:rsidP="00CB2AC0">
            <w:pPr>
              <w:numPr>
                <w:ilvl w:val="0"/>
                <w:numId w:val="2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nielicznostawowej postaci MIZS, rozszerzającej się  i przetrwałej ponad 6 miesięcy, przy występujących czynnikach złej prognozy (wg ACR) i z obecnością co najmniej 2 stawów obrzękniętych lub z ograniczoną ruchomością i bolesnością i oceną przez lekarza aktywności choroby na co najmniej 5 w 10-punktowej skali z towarzyszącym bólem, tkliwością lub obiema tymi cechami, mimo leczenia dwoma, wymienionymi w programie lekami modyfikującymi przebieg choroby/lekami immunosupresyjnymi w obowiązujących dawkach (w tym metotreksatem) przez minimum 3 miesiące każdym albo </w:t>
            </w:r>
          </w:p>
          <w:p w14:paraId="5157461B" w14:textId="77777777" w:rsidR="009D7AE1" w:rsidRPr="009D7AE1" w:rsidRDefault="009D7AE1" w:rsidP="00CB2AC0">
            <w:pPr>
              <w:numPr>
                <w:ilvl w:val="0"/>
                <w:numId w:val="2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z dominującym  zapaleniem błony naczyniowej oka niepoddającym się leczeniu dwoma, wymienionymi w programie lekami modyfikującymi przebieg choroby/lekami immunosupresyjnymi w obowiązujących dawkach (w tym metotreksatem) przez minimum 3 miesiące każdym, niezależnie od ilości zajętych stawów.</w:t>
            </w:r>
          </w:p>
          <w:p w14:paraId="1C296782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 do terapii tocilizumabem</w:t>
            </w:r>
            <w:r w:rsidR="000572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kwalifikują się pacjenci od 2 roku życia, z rozpoznaniem:</w:t>
            </w:r>
          </w:p>
          <w:p w14:paraId="7B7496B4" w14:textId="77777777" w:rsidR="009D7AE1" w:rsidRPr="009D7AE1" w:rsidRDefault="009D7AE1" w:rsidP="00CB2AC0">
            <w:pPr>
              <w:numPr>
                <w:ilvl w:val="0"/>
                <w:numId w:val="28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o początku uogólnionym (rozpoznanie na podstawie kryteriów ILAR z 1997 r.) z dominującymi objawami układowymi, u których mimo stosowania przez co najmniej 2 tygodnie pełnych dawek glikokortykosteroidów (GKS) (doustnie 1-2 mg/kg m.c./dobę, maksymalnie 60 mg/dobę lub metyloprednizolonu 10-30 mg/kg m.c./wlew przez 3 dni i ewentualnie powtarzane przez kolejne tygodnie) utrzymuje się lub wystąpiła ponownie gorączka i utrzymują się układowe objawy wysokiej aktywności choroby, rozumianej jako wartość 5 lub więcej w 10-punktowej skali, wg oceny lekarza albo</w:t>
            </w:r>
          </w:p>
          <w:p w14:paraId="42C6653C" w14:textId="77777777" w:rsidR="009D7AE1" w:rsidRPr="009D7AE1" w:rsidRDefault="009D7AE1" w:rsidP="00CB2AC0">
            <w:pPr>
              <w:numPr>
                <w:ilvl w:val="0"/>
                <w:numId w:val="28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o początku uogólnionym (rozpoznanie na podstawie kryteriów ILAR z 1997 r.) z zajęciem co najmniej 5 stawów lub z zajęciem co najmniej 2 stawów i towarzyszącą gorączką powyżej 38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C, u których aktywna choroba utrzymuje się przez co najmniej 3 miesiące i niewystarczająco odpowiada na leczenie GKS w dawce nie niższej niż 0,5 mg/kg m.c./dobę oraz metotreksatem w obowiązującej dawce (ewentualnie w postaci podskórnej), podawanym przez co najmniej 3 miesiące albo, w przypadku nietolerancji metotreksatu, innym lekiem modyfikującym przebieg choroby/lekiem immunosupresyjnym, podawanym w obowiązującej dawce przez co najmniej 3 miesiące. </w:t>
            </w:r>
          </w:p>
          <w:p w14:paraId="502693BA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kwalifikują się także pacjenci poddani leczeniu MIZS inhibitorem TNF alfa lub tocilizumabem</w:t>
            </w:r>
            <w:r w:rsidR="000572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ramach programu lekowego, u których:</w:t>
            </w:r>
          </w:p>
          <w:p w14:paraId="72FE13BE" w14:textId="77777777" w:rsidR="009D7AE1" w:rsidRPr="009D7AE1" w:rsidRDefault="009D7AE1" w:rsidP="00CB2AC0">
            <w:pPr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 ciężka reakcja uczuleniowa na substancję czynną lub pomocniczą leku lub</w:t>
            </w:r>
          </w:p>
          <w:p w14:paraId="184863AD" w14:textId="77777777" w:rsidR="009D7AE1" w:rsidRPr="009D7AE1" w:rsidRDefault="009D7AE1" w:rsidP="00CB2AC0">
            <w:pPr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2C249CDF" w14:textId="77777777" w:rsidR="009D7AE1" w:rsidRPr="009D7AE1" w:rsidRDefault="009D7AE1" w:rsidP="00CB2AC0">
            <w:pPr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części dotyczącej MIZS niniejszego programu lekowego).</w:t>
            </w:r>
          </w:p>
          <w:p w14:paraId="13A2D342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kwalifikowani są również pacjenci, uprzednio leczeni tocilizumabem</w:t>
            </w:r>
            <w:r w:rsidR="000572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ramach hospitalizacji według jednorodnych grup pacjentów (JGP) pod warunkiem, że przed rozpoczęciem terapii spełniali kryteria włączenia do programu oraz nie spełnili kryteriów zakończenia udziału w programie – po uzyskaniu akceptacji Zespołu Koordynacyjnego do Spraw Leczenia Biologicznego w Chorobach Reumatycznych.</w:t>
            </w:r>
          </w:p>
          <w:p w14:paraId="688F3FF3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 z rozpoznaniem MIZS, który ukończył 18 rok życia może być leczony, w zależności od obrazu klinicznego choroby, na zasadach określonych w programach lekowych dotyczących terapii RZS albo ŁZS, albo ZZSK. Jeśli obraz choroby nie odpowiada jednej z tych postaci, leczenie prowadzone jest w programie dotyczącym MIZS.</w:t>
            </w:r>
          </w:p>
          <w:p w14:paraId="5A95373A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nie dopuszcza się możliwości ponownej kwalifikacji do terapii substancją czynną, którą pacjent był leczony w przeszłości nieskutecznie.</w:t>
            </w:r>
          </w:p>
          <w:p w14:paraId="29747FC4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 pacjenta do drugiego leku i kolejnych w ramach programu lekowego nie wymaga zgody Zespołu Koordynacyjnego, jeśli jest zgodna z opisem programu.</w:t>
            </w:r>
          </w:p>
          <w:p w14:paraId="755657EB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Obowiązujące dawki leków modyfikujących przebieg choroby/leków immunosupresyjnych wynoszą dla: metotreksatu – 10-20 mg/m²/tydzień (maksymalnie 30 mg/tydzień), sulfasalazyny – 20-50 mg/kg m.c./dobę, cyklosporyny A – 3-5 mg/kg m.c./dobę, chlorochiny (ewentualnie hydroksychlorochiny) – 4-6 mg/kg m.c./dobę, azatiopryny – 1,0-2,5 mg/kg m.c./dobę, jeżeli leczenie jest dobrze tolerowane. </w:t>
            </w:r>
          </w:p>
          <w:p w14:paraId="0C77CAC9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W przypadkach, w których pacjentowi grozi kalectwo lub zagrożone jest jego życie, decyzją Zespołu Koordynacyjnego do Spraw Leczenia Biologicznego w Chorobach Reumatycznych, pacjent może być zakwalifikowany do leczenia biologicznego w przypadku niespełnienia części kryteriów opisanych w programie, jeśli leczenie jest zgodne z aktualnie obowiązującymi rekomendacjami oraz wiedzą medyczną.</w:t>
            </w:r>
          </w:p>
          <w:p w14:paraId="6AAB3099" w14:textId="77777777" w:rsidR="009D7AE1" w:rsidRPr="009D7AE1" w:rsidRDefault="009D7AE1" w:rsidP="00CB2AC0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miesiączkujących dziewcząt wymagana jest zgoda na świadomą kontrolę urodzeń, zgodnie z Charakterystyką Produktu Leczniczego, którym odbywa się leczenie biologiczne.</w:t>
            </w:r>
          </w:p>
          <w:p w14:paraId="44744489" w14:textId="77777777" w:rsidR="009D7AE1" w:rsidRPr="009D7AE1" w:rsidRDefault="009D7AE1" w:rsidP="00CB2AC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760546" w14:textId="77777777" w:rsidR="009D7AE1" w:rsidRPr="009D7AE1" w:rsidRDefault="009D7AE1" w:rsidP="00CB2AC0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stanowiące przeciwwskazania do kwalifikacji do programu:</w:t>
            </w:r>
          </w:p>
          <w:p w14:paraId="39B52F8A" w14:textId="77777777" w:rsidR="009D7AE1" w:rsidRPr="009D7AE1" w:rsidRDefault="009D7AE1" w:rsidP="00CB2AC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Przeciwwskazania do udziału w programie wynikają z przeciwwskazań do stosowania określonych w Charakterystykach Produktów Leczniczych poszczególnych substancji czynnych ujętych w programie lekowym, z uwzględnieniem rekomendacji EULAR/ACR.</w:t>
            </w:r>
          </w:p>
          <w:p w14:paraId="76ED8431" w14:textId="77777777" w:rsidR="009D7AE1" w:rsidRPr="009D7AE1" w:rsidRDefault="009D7AE1" w:rsidP="00CB2AC0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53B72" w14:textId="77777777" w:rsidR="009D7AE1" w:rsidRPr="009D7AE1" w:rsidRDefault="009D7AE1" w:rsidP="00CB2AC0">
            <w:pPr>
              <w:numPr>
                <w:ilvl w:val="0"/>
                <w:numId w:val="20"/>
              </w:numPr>
              <w:tabs>
                <w:tab w:val="left" w:pos="0"/>
                <w:tab w:val="num" w:pos="144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leczenia w programie:</w:t>
            </w:r>
          </w:p>
          <w:p w14:paraId="2AF650C5" w14:textId="77777777" w:rsidR="009D7AE1" w:rsidRPr="009D7AE1" w:rsidRDefault="009D7AE1" w:rsidP="00CB2AC0">
            <w:pPr>
              <w:numPr>
                <w:ilvl w:val="0"/>
                <w:numId w:val="22"/>
              </w:numPr>
              <w:tabs>
                <w:tab w:val="left" w:pos="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Kryteria kwalifikacji i wyłączenia z programu określają czas leczenia w programie. </w:t>
            </w:r>
          </w:p>
          <w:p w14:paraId="46854C90" w14:textId="77777777" w:rsidR="009D7AE1" w:rsidRPr="009D7AE1" w:rsidRDefault="009D7AE1" w:rsidP="00CB2AC0">
            <w:pPr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leczenia daną substancją czynną w ramach programu  przy pierwszym podawaniu leku biologicznego nie może być dłuższy niż 24 miesiące, z zastrzeżeniem pkt 5 ppkt 1 w części dotyczącej MIZS niniejszego programu.</w:t>
            </w:r>
          </w:p>
          <w:p w14:paraId="02D71698" w14:textId="77777777" w:rsidR="009D7AE1" w:rsidRPr="009D7AE1" w:rsidRDefault="009D7AE1" w:rsidP="00CB2AC0">
            <w:pPr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14:paraId="108A7660" w14:textId="77777777" w:rsidR="009D7AE1" w:rsidRPr="009D7AE1" w:rsidRDefault="009D7AE1" w:rsidP="00CB2AC0">
            <w:pPr>
              <w:numPr>
                <w:ilvl w:val="0"/>
                <w:numId w:val="22"/>
              </w:numPr>
              <w:tabs>
                <w:tab w:val="left" w:pos="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 będący w trakcie terapii, który ukończył 18 rok życia, może kontynuować terapię  w pediatrycznym ośrodku realizującym program lekowy dotyczący leczenia MIZS do czasu jej ukończenia, jednak nie dłużej niż do ukończenia 20 roku życia, po uzyskaniu indywidualnej zgody Dyrektora Oddziału Wojewódzkiego NFZ. </w:t>
            </w:r>
          </w:p>
          <w:p w14:paraId="2AEBFA59" w14:textId="77777777" w:rsidR="009D7AE1" w:rsidRPr="009D7AE1" w:rsidRDefault="009D7AE1" w:rsidP="00CB2AC0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FFF06" w14:textId="51059EEE" w:rsidR="009D7AE1" w:rsidRPr="009D7AE1" w:rsidRDefault="00CB2AC0" w:rsidP="00CB2AC0">
            <w:pPr>
              <w:widowControl w:val="0"/>
              <w:numPr>
                <w:ilvl w:val="0"/>
                <w:numId w:val="20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59264" behindDoc="0" locked="0" layoutInCell="1" allowOverlap="1" wp14:anchorId="145DD884" wp14:editId="2C22E05A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D53721" w14:textId="77777777" w:rsidR="009D7AE1" w:rsidRDefault="009D7AE1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5DD8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523.2pt;margin-top:-3.25pt;width:.4pt;height:5.05pt;z-index:251659264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" stroked="f">
                      <v:fill opacity="0"/>
                      <v:textbox inset="0,0,0,0">
                        <w:txbxContent>
                          <w:p w14:paraId="66D53721" w14:textId="77777777" w:rsidR="009D7AE1" w:rsidRDefault="009D7AE1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0" simplePos="0" relativeHeight="251660288" behindDoc="0" locked="0" layoutInCell="1" allowOverlap="1" wp14:anchorId="6F480004" wp14:editId="5BBF9F66">
                      <wp:simplePos x="0" y="0"/>
                      <wp:positionH relativeFrom="page">
                        <wp:posOffset>6644640</wp:posOffset>
                      </wp:positionH>
                      <wp:positionV relativeFrom="paragraph">
                        <wp:posOffset>-41275</wp:posOffset>
                      </wp:positionV>
                      <wp:extent cx="5080" cy="64135"/>
                      <wp:effectExtent l="0" t="0" r="0" b="0"/>
                      <wp:wrapSquare wrapText="largest"/>
                      <wp:docPr id="1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79E31E" w14:textId="77777777" w:rsidR="009D7AE1" w:rsidRDefault="009D7AE1" w:rsidP="009D7AE1">
                                  <w:pPr>
                                    <w:jc w:val="both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80004" id="Pole tekstowe 1" o:spid="_x0000_s1027" type="#_x0000_t202" style="position:absolute;left:0;text-align:left;margin-left:523.2pt;margin-top:-3.25pt;width:.4pt;height:5.05pt;z-index:251660288;visibility:visible;mso-wrap-style:square;mso-width-percent:0;mso-height-percent:0;mso-wrap-distance-left:7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" stroked="f">
                      <v:fill opacity="0"/>
                      <v:textbox inset="0,0,0,0">
                        <w:txbxContent>
                          <w:p w14:paraId="4A79E31E" w14:textId="77777777" w:rsidR="009D7AE1" w:rsidRDefault="009D7AE1" w:rsidP="009D7AE1">
                            <w:pPr>
                              <w:jc w:val="both"/>
                            </w:pPr>
                          </w:p>
                        </w:txbxContent>
                      </v:textbox>
                      <w10:wrap type="square" side="largest" anchorx="page"/>
                    </v:shape>
                  </w:pict>
                </mc:Fallback>
              </mc:AlternateContent>
            </w:r>
            <w:r w:rsidR="009D7AE1"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wyłączenia z programu:</w:t>
            </w:r>
          </w:p>
          <w:p w14:paraId="47176916" w14:textId="77777777" w:rsidR="009D7AE1" w:rsidRPr="009D7AE1" w:rsidRDefault="009D7AE1" w:rsidP="00CB2AC0">
            <w:pPr>
              <w:numPr>
                <w:ilvl w:val="0"/>
                <w:numId w:val="3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adekwatnej odpowiedzi na leczenie, stwierdzony po 3 pierwszych miesiącach (± 14 dni) terapii daną substancją czynną. Adekwatną odpowiedź na leczenie definiujemy jako:</w:t>
            </w:r>
          </w:p>
          <w:p w14:paraId="68275E03" w14:textId="77777777" w:rsidR="009D7AE1" w:rsidRPr="009D7AE1" w:rsidRDefault="009D7AE1" w:rsidP="00CB2AC0">
            <w:pPr>
              <w:numPr>
                <w:ilvl w:val="0"/>
                <w:numId w:val="4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poprawę o co najmniej 30% od wartości wyjściowych po 3 pierwszych miesiącach terapii według oceny Gianniniego – u pacjentów z rozpoznaniem MIZS z dominującymi objawami ze strony stawów,</w:t>
            </w:r>
          </w:p>
          <w:p w14:paraId="494E7DF1" w14:textId="77777777" w:rsidR="009D7AE1" w:rsidRPr="009D7AE1" w:rsidRDefault="009D7AE1" w:rsidP="00CB2AC0">
            <w:pPr>
              <w:numPr>
                <w:ilvl w:val="0"/>
                <w:numId w:val="4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ustąpienie objawów układowych po 3 pierwszych miesiącach terapii – u pacjentów z rozpoznaniem  MIZS z dominującymi objawami układowymi;</w:t>
            </w:r>
          </w:p>
          <w:p w14:paraId="6342731F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 adekwatnej odpowiedzi na leczenie stwierdzona po kolejnych 3 miesiącach (± 14 dni);</w:t>
            </w:r>
          </w:p>
          <w:p w14:paraId="07474DAC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niespełnienie kryteriów poprawy ACR Pediatric 50 po pierwszych 12 miesiącach (± 28 dni) leczenia, a więc nieuzyskanie przynajmniej 50-procentowej poprawy w 3 z 6 następujących parametrów, przy jednoczesnym braku pogorszenia o 50% w więcej niż jednym z poniższych parametrów:</w:t>
            </w:r>
          </w:p>
          <w:p w14:paraId="557B780E" w14:textId="77777777" w:rsidR="009D7AE1" w:rsidRPr="009D7AE1" w:rsidRDefault="009D7AE1" w:rsidP="00CB2AC0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liczba stawów z czynnym zapaleniem;</w:t>
            </w:r>
          </w:p>
          <w:p w14:paraId="7CB9903E" w14:textId="77777777" w:rsidR="009D7AE1" w:rsidRPr="009D7AE1" w:rsidRDefault="009D7AE1" w:rsidP="00CB2AC0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liczba stawów z ograniczeniem ruchomości;</w:t>
            </w:r>
          </w:p>
          <w:p w14:paraId="75DF8E96" w14:textId="77777777" w:rsidR="009D7AE1" w:rsidRPr="009D7AE1" w:rsidRDefault="009D7AE1" w:rsidP="00CB2AC0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ocena aktywności choroby dokonana przez lekarza na 10-centymetrowej skali VAS;</w:t>
            </w:r>
          </w:p>
          <w:p w14:paraId="1C6DF845" w14:textId="77777777" w:rsidR="009D7AE1" w:rsidRPr="009D7AE1" w:rsidRDefault="009D7AE1" w:rsidP="00CB2AC0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ocena ogólnego samopoczucia dokonana przez rodzica lub chore dziecko na 10-centymetrowej skali VAS;</w:t>
            </w:r>
          </w:p>
          <w:p w14:paraId="41DA3892" w14:textId="77777777" w:rsidR="009D7AE1" w:rsidRPr="009D7AE1" w:rsidRDefault="009D7AE1" w:rsidP="00CB2AC0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wskaźnik stanu funkcjonalnego dziecka (np. CHAQ);</w:t>
            </w:r>
          </w:p>
          <w:p w14:paraId="6BB91A25" w14:textId="77777777" w:rsidR="009D7AE1" w:rsidRPr="009D7AE1" w:rsidRDefault="009D7AE1" w:rsidP="00CB2AC0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 wskaźnik ostrej fazy (OB. lub CRP).</w:t>
            </w:r>
          </w:p>
          <w:p w14:paraId="372CE6DE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utrata kryteriów poprawy ACR Pediatric 50 w trakcie kolejnych wizyt monitorujących po każdych kolejnych 180 dniach (± 28 dni);</w:t>
            </w:r>
          </w:p>
          <w:p w14:paraId="50A19C01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utrzymywanie się przez okres 12 miesięcy kryteriów poprawy ACR Pediatric 50; </w:t>
            </w:r>
          </w:p>
          <w:p w14:paraId="62EAA588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 pacjentów zakwalifikowanych do leczenia na podstawie pkt 1 ppkt 2c) (MIZS z dominującym zapaleniem błony naczyniowej oka) niespełniających jednocześnie kryteriów kwalifikacji określonych w pkt 1 ppkt 2a) i 2b) oraz 3a) i 3b) – brak uzyskania istotnej klinicznie poprawy w zakresie zapalenia błony naczyniowej oka po pierwszych 12 miesiącach (± 28 dni) potwierdzonej badaniem okulistycznym oraz utrzymywanie się istotnej klinicznie poprawy przez okres kolejnych 12 miesięcy;</w:t>
            </w:r>
          </w:p>
          <w:p w14:paraId="5EDD4412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wystąpienie działań niepożądanych, które w opinii lekarza prowadzącego oraz zgodnie z Charakterystyką Produktu Leczniczego, którym prowadzona jest terapia, są przeciwwskazaniami do leczenia daną substancją czynną;</w:t>
            </w:r>
          </w:p>
          <w:p w14:paraId="6989556E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jeśli u chorego zaprzestano podawania leków z grupy inhibitorów TNF alfa lub tocilizumabu</w:t>
            </w:r>
            <w:r w:rsidR="003915A1">
              <w:rPr>
                <w:rFonts w:ascii="Times New Roman" w:hAnsi="Times New Roman" w:cs="Times New Roman"/>
                <w:sz w:val="20"/>
                <w:szCs w:val="20"/>
              </w:rPr>
              <w:t xml:space="preserve"> w postaci dożylnej</w:t>
            </w: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 xml:space="preserve"> z powodu spełnienia i utrzymywania się kryteriów poprawy ACR Pediatric 50 i doszło u niego do nawrotu aktywnej choroby w okresie poniżej 12 tygodni, wtedy decyzja o długości leczenia, dawkowaniu i częstości podawania leku biologicznego po nawrocie i ponownym spełnieniu kryteriów poprawy ACR Pediatric 50, należy do lekarza prowadzącego;</w:t>
            </w:r>
          </w:p>
          <w:p w14:paraId="549F5692" w14:textId="77777777" w:rsidR="009D7AE1" w:rsidRPr="009D7AE1" w:rsidRDefault="009D7AE1" w:rsidP="00CB2AC0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lekarz prowadzący może zwrócić się do Zespołu Koordynacyjnego do Spraw Leczenia Biologicznego w Chorobach Reumatycznych o wyrażenie zgody na kontynuację leczenia daną substancją czynną w uzasadnionych sytuacjach klinicznych w przypadku niespełnienia przez chorego kryteriów poprawy ACR Pediatric 50 zgodnie z pkt 4 ppkt 3, szczególnie u pacjentów z wyjściową bardzo dużą aktywnością choroby i/lub występowaniem czynników złej prognozy. Bez zgody Zespołu Koordynacyjnego dalsze leczenie daną substancją czynną w przypadku niespełnienia kryteriów ACR Pediatric 50 po 12 miesiącach terapii nie jest możliwe.</w:t>
            </w:r>
          </w:p>
          <w:p w14:paraId="7FC8F14F" w14:textId="77777777" w:rsidR="009D7AE1" w:rsidRPr="009D7AE1" w:rsidRDefault="009D7AE1" w:rsidP="00CB2AC0">
            <w:pPr>
              <w:suppressAutoHyphens/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ADE4E79" w14:textId="77777777" w:rsidR="009D7AE1" w:rsidRPr="009D7AE1" w:rsidRDefault="009D7AE1" w:rsidP="00CB2AC0">
            <w:pPr>
              <w:keepNext/>
              <w:numPr>
                <w:ilvl w:val="0"/>
                <w:numId w:val="20"/>
              </w:numPr>
              <w:tabs>
                <w:tab w:val="num" w:pos="1440"/>
              </w:tabs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Kryteria ponownego włączenia do programu:</w:t>
            </w:r>
          </w:p>
          <w:p w14:paraId="1D754BA8" w14:textId="77777777" w:rsidR="009D7AE1" w:rsidRPr="009D7AE1" w:rsidRDefault="009D7AE1" w:rsidP="00CB2AC0">
            <w:pPr>
              <w:numPr>
                <w:ilvl w:val="0"/>
                <w:numId w:val="23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Pacjent, u którego zaprzestano, zgodnie z pkt 4 ppkt 5,  podawania substancji czynnej leku biologicznego zastosowanej zgodnie z zapisami programu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u którego w trakcie badania kontrolnego stwierdzono nawrót aktywnej choroby, definiowanej jako brak utrzymywania się kryteriów poprawy ACR Pediatric 50, jest włączany do leczenia w ramach programu bez kwalifikacji.</w:t>
            </w:r>
          </w:p>
          <w:p w14:paraId="37E41B63" w14:textId="77777777" w:rsidR="009D7AE1" w:rsidRPr="009D7AE1" w:rsidRDefault="009D7AE1" w:rsidP="00CB2AC0">
            <w:pPr>
              <w:numPr>
                <w:ilvl w:val="0"/>
                <w:numId w:val="23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 jest włączany do ponownego leczenia substancją czynną, której zastosowanie spowodowało spełnienie kryteriów poprawy ACR Pediatric 50.</w:t>
            </w:r>
          </w:p>
          <w:p w14:paraId="5D51B09B" w14:textId="77777777" w:rsidR="009D7AE1" w:rsidRDefault="009D7AE1" w:rsidP="00CB2AC0">
            <w:pPr>
              <w:numPr>
                <w:ilvl w:val="0"/>
                <w:numId w:val="23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  <w:p w14:paraId="44FB7703" w14:textId="77777777" w:rsidR="00CB2AC0" w:rsidRPr="009D7AE1" w:rsidRDefault="00CB2AC0" w:rsidP="00CB2AC0">
            <w:pPr>
              <w:suppressAutoHyphens/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</w:tcPr>
          <w:p w14:paraId="7E1183F4" w14:textId="77777777" w:rsidR="009D7AE1" w:rsidRPr="009D7AE1" w:rsidRDefault="009D7AE1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  Dawkowanie:</w:t>
            </w:r>
          </w:p>
          <w:p w14:paraId="01002DFE" w14:textId="77777777" w:rsidR="009D7AE1" w:rsidRPr="009D7AE1" w:rsidRDefault="009D7AE1" w:rsidP="00CB2AC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Adalimumab, etanercept i tocilizumab</w:t>
            </w:r>
            <w:r w:rsidR="00F16A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należy podawać zgodnie z dawkowaniem określonym w aktualnej Charakterystyce Produktu Leczniczego z uwzględnieniem rekomendacji EULAR/ACR.</w:t>
            </w:r>
          </w:p>
          <w:p w14:paraId="7EF1109B" w14:textId="77777777" w:rsidR="009D7AE1" w:rsidRPr="009D7AE1" w:rsidRDefault="009D7AE1" w:rsidP="00CB2AC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Powyższe leki należy podawać z metotreksatem w skutecznej klinicznie i tolerowanej przez chorego dawce, chyba, że występują przeciwwskazania do stosowania metotreksatu.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przypadku wystąpienia przeciwwskazań do stosowania metotreksatu, należy rozważyć podawanie adalimumabu, etanerceptu oraz tocilizumabu</w:t>
            </w:r>
            <w:r w:rsidR="000572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innym, wymienionym w programie lekiem modyfikującym przebieg choroby/immunosupresyjnym w obowiązującej dawce.</w:t>
            </w:r>
          </w:p>
          <w:p w14:paraId="01171861" w14:textId="77777777" w:rsidR="009D7AE1" w:rsidRPr="009D7AE1" w:rsidRDefault="009D7AE1" w:rsidP="00CB2A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E8DF" w14:textId="1F6FDDEA" w:rsidR="009D7AE1" w:rsidRPr="009D7AE1" w:rsidRDefault="00417414" w:rsidP="00CB2AC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Badania przy </w:t>
            </w:r>
            <w:r w:rsidR="009D7AE1"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 do programu:</w:t>
            </w:r>
          </w:p>
          <w:p w14:paraId="4D08B696" w14:textId="77777777" w:rsidR="009D7AE1" w:rsidRPr="009D7AE1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 tuberkulinowa lub test Quantiferon;</w:t>
            </w:r>
          </w:p>
          <w:p w14:paraId="62517C5F" w14:textId="77777777" w:rsidR="009D7AE1" w:rsidRPr="009D7AE1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antygenu HBs;</w:t>
            </w:r>
          </w:p>
          <w:p w14:paraId="6B1D2738" w14:textId="77777777" w:rsidR="009D7AE1" w:rsidRPr="009D7AE1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 anty-HCV;</w:t>
            </w:r>
          </w:p>
          <w:p w14:paraId="58767FF6" w14:textId="77777777" w:rsidR="009D7AE1" w:rsidRPr="009D7AE1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 wirusa HIV (HIV Ag/Ab Combo);</w:t>
            </w:r>
          </w:p>
          <w:p w14:paraId="5517DA81" w14:textId="77777777" w:rsidR="009D7AE1" w:rsidRPr="009D7AE1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 klatki piersiowej z opisem (maksymalnie do 6 miesięcy przed kwalifikacją);</w:t>
            </w:r>
          </w:p>
          <w:p w14:paraId="0D4383AF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 z opisem.</w:t>
            </w:r>
          </w:p>
          <w:p w14:paraId="78088ADE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krwi, a w przypadku kwalifikowania do terapii tocilizumabem</w:t>
            </w:r>
            <w:r w:rsidR="00057286"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morfologia krwi z rozmazem oraz oznaczeniem bezwzględnej liczby granulocytów obojętnochłonnych;</w:t>
            </w:r>
          </w:p>
          <w:p w14:paraId="3512AB33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6A7F8B48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6BC39E65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337DBD27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6831A9D1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asparaginianowa (AspAT);</w:t>
            </w:r>
          </w:p>
          <w:p w14:paraId="63AC21DB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alaninowa (AlAT);</w:t>
            </w:r>
          </w:p>
          <w:p w14:paraId="21BBD6A5" w14:textId="77777777" w:rsid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ogólne moczu (do decyzji lekarza);</w:t>
            </w:r>
          </w:p>
          <w:p w14:paraId="6A01164F" w14:textId="5AB849E5" w:rsidR="009D7AE1" w:rsidRPr="004144A9" w:rsidRDefault="009D7AE1" w:rsidP="00CB2AC0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kwalifikowanych do leczenia tocilizumabem</w:t>
            </w:r>
            <w:r w:rsidR="00057286"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6C1B822" w14:textId="77777777" w:rsidR="009D7AE1" w:rsidRPr="009D7AE1" w:rsidRDefault="009D7AE1" w:rsidP="00CB2AC0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C1BC42" w14:textId="006CB4DC" w:rsidR="009D7AE1" w:rsidRPr="009D7AE1" w:rsidRDefault="009D7AE1" w:rsidP="00CB2AC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leczenia:  </w:t>
            </w:r>
          </w:p>
          <w:p w14:paraId="735FE386" w14:textId="77777777" w:rsidR="009D7AE1" w:rsidRPr="009D7AE1" w:rsidRDefault="009D7AE1" w:rsidP="00CB2AC0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ciągu pierwszych sześciu miesięcy terapii daną substancją czynną, wymienione niżej badania należy wykonać nie rzadziej niż co 90 dni (± 14 dni):</w:t>
            </w:r>
          </w:p>
          <w:p w14:paraId="40A88AAF" w14:textId="77777777" w:rsidR="009D7AE1" w:rsidRPr="009D7AE1" w:rsidRDefault="009D7AE1" w:rsidP="00CB2AC0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morfologia krwi,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w przypadku pacjentów leczonych tocilizumabem</w:t>
            </w:r>
            <w:r w:rsidR="000572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 morfologia krwi z rozmazem oraz oznaczeniem bezwzględnej liczby granulocytów obojętnochłonnych; </w:t>
            </w:r>
          </w:p>
          <w:p w14:paraId="1CDD30EC" w14:textId="77777777" w:rsidR="009D7AE1" w:rsidRPr="009D7AE1" w:rsidRDefault="009D7AE1" w:rsidP="00CB2AC0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6CAA7CF0" w14:textId="77777777" w:rsidR="009D7AE1" w:rsidRPr="009D7AE1" w:rsidRDefault="009D7AE1" w:rsidP="00CB2AC0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6387EDA9" w14:textId="77777777" w:rsidR="009D7AE1" w:rsidRPr="009D7AE1" w:rsidRDefault="009D7AE1" w:rsidP="00CB2AC0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70B54A94" w14:textId="77777777" w:rsidR="009D7AE1" w:rsidRPr="009D7AE1" w:rsidRDefault="009D7AE1" w:rsidP="00CB2AC0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AspAT i AlAT;</w:t>
            </w:r>
          </w:p>
          <w:p w14:paraId="75FAF5F7" w14:textId="77777777" w:rsidR="009D7AE1" w:rsidRPr="009D7AE1" w:rsidRDefault="009D7AE1" w:rsidP="00CB2AC0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leczonych tocilizumabem</w:t>
            </w:r>
            <w:r w:rsidR="00057286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w postaci dożylnej</w:t>
            </w:r>
          </w:p>
          <w:p w14:paraId="37BAFBA4" w14:textId="77777777" w:rsidR="009D7AE1" w:rsidRPr="009D7AE1" w:rsidRDefault="009D7AE1" w:rsidP="00CB2AC0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 dokonać oceny skuteczności zastosowanej terapii.</w:t>
            </w:r>
          </w:p>
          <w:p w14:paraId="1B54A69C" w14:textId="77777777" w:rsidR="009D7AE1" w:rsidRPr="009D7AE1" w:rsidRDefault="009D7AE1" w:rsidP="00CB2AC0">
            <w:pPr>
              <w:suppressAutoHyphens/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terapia jest kontynuowana powyższe powtarzać po każdych kolejnych 180 dniach (± 28 dni).</w:t>
            </w:r>
          </w:p>
          <w:p w14:paraId="198874F5" w14:textId="77777777" w:rsidR="009D7AE1" w:rsidRPr="009D7AE1" w:rsidRDefault="009D7AE1" w:rsidP="00CB2AC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2FB9D05" w14:textId="77777777" w:rsidR="009D7AE1" w:rsidRPr="009D7AE1" w:rsidRDefault="009D7AE1" w:rsidP="00CB2AC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programu: </w:t>
            </w:r>
          </w:p>
          <w:p w14:paraId="29C37D45" w14:textId="77777777" w:rsidR="009D7AE1" w:rsidRPr="009D7AE1" w:rsidRDefault="009D7AE1" w:rsidP="00CB2AC0">
            <w:pPr>
              <w:numPr>
                <w:ilvl w:val="0"/>
                <w:numId w:val="19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4BA9793C" w14:textId="77777777" w:rsidR="009D7AE1" w:rsidRPr="009D7AE1" w:rsidRDefault="009D7AE1" w:rsidP="00CB2AC0">
            <w:pPr>
              <w:numPr>
                <w:ilvl w:val="0"/>
                <w:numId w:val="19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3F9CE357" w14:textId="77777777" w:rsidR="009D7AE1" w:rsidRPr="009D7AE1" w:rsidRDefault="009D7AE1" w:rsidP="00CB2AC0">
            <w:pPr>
              <w:numPr>
                <w:ilvl w:val="0"/>
                <w:numId w:val="19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00CA53B5" w14:textId="77777777" w:rsidR="009D7AE1" w:rsidRPr="009D7AE1" w:rsidRDefault="009D7AE1" w:rsidP="00CB2AC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9C88039" w14:textId="77777777" w:rsidR="009D7AE1" w:rsidRPr="009D7AE1" w:rsidRDefault="009D7AE1" w:rsidP="009D7AE1">
      <w:pPr>
        <w:autoSpaceDE w:val="0"/>
        <w:autoSpaceDN w:val="0"/>
        <w:adjustRightInd w:val="0"/>
        <w:spacing w:after="0" w:line="260" w:lineRule="atLeast"/>
        <w:jc w:val="both"/>
        <w:rPr>
          <w:rFonts w:ascii="Calibri" w:eastAsia="Calibri" w:hAnsi="Calibri" w:cs="Times New Roman"/>
        </w:rPr>
      </w:pPr>
    </w:p>
    <w:p w14:paraId="2BEBE931" w14:textId="77777777" w:rsidR="00D41D26" w:rsidRDefault="00D41D26"/>
    <w:sectPr w:rsidR="00D41D26" w:rsidSect="00CB2AC0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D0CC3" w14:textId="77777777" w:rsidR="00D76175" w:rsidRDefault="00D76175" w:rsidP="009D7AE1">
      <w:pPr>
        <w:spacing w:after="0" w:line="240" w:lineRule="auto"/>
      </w:pPr>
      <w:r>
        <w:separator/>
      </w:r>
    </w:p>
  </w:endnote>
  <w:endnote w:type="continuationSeparator" w:id="0">
    <w:p w14:paraId="2A553D66" w14:textId="77777777" w:rsidR="00D76175" w:rsidRDefault="00D76175" w:rsidP="009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09E0E" w14:textId="77777777" w:rsidR="00D76175" w:rsidRDefault="00D76175" w:rsidP="009D7AE1">
      <w:pPr>
        <w:spacing w:after="0" w:line="240" w:lineRule="auto"/>
      </w:pPr>
      <w:r>
        <w:separator/>
      </w:r>
    </w:p>
  </w:footnote>
  <w:footnote w:type="continuationSeparator" w:id="0">
    <w:p w14:paraId="44285A2F" w14:textId="77777777" w:rsidR="00D76175" w:rsidRDefault="00D76175" w:rsidP="009D7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6B4"/>
    <w:multiLevelType w:val="hybridMultilevel"/>
    <w:tmpl w:val="F2426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78EB"/>
    <w:multiLevelType w:val="hybridMultilevel"/>
    <w:tmpl w:val="520860FC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26F26"/>
    <w:multiLevelType w:val="hybridMultilevel"/>
    <w:tmpl w:val="A1885E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D8BA46">
      <w:start w:val="1"/>
      <w:numFmt w:val="decimal"/>
      <w:lvlText w:val="%3)"/>
      <w:lvlJc w:val="left"/>
      <w:pPr>
        <w:tabs>
          <w:tab w:val="num" w:pos="2340"/>
        </w:tabs>
        <w:ind w:left="454" w:firstLine="152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232517"/>
    <w:multiLevelType w:val="hybridMultilevel"/>
    <w:tmpl w:val="357AF526"/>
    <w:lvl w:ilvl="0" w:tplc="77FA15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CE5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9627C"/>
    <w:multiLevelType w:val="hybridMultilevel"/>
    <w:tmpl w:val="72EAF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F7114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F265C"/>
    <w:multiLevelType w:val="hybridMultilevel"/>
    <w:tmpl w:val="6842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90B9B"/>
    <w:multiLevelType w:val="hybridMultilevel"/>
    <w:tmpl w:val="B8B22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E02F2"/>
    <w:multiLevelType w:val="hybridMultilevel"/>
    <w:tmpl w:val="341C69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03A36"/>
    <w:multiLevelType w:val="hybridMultilevel"/>
    <w:tmpl w:val="3092C4AE"/>
    <w:lvl w:ilvl="0" w:tplc="0415000F">
      <w:start w:val="1"/>
      <w:numFmt w:val="decimal"/>
      <w:lvlText w:val="%1."/>
      <w:lvlJc w:val="left"/>
      <w:pPr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D7B8C"/>
    <w:multiLevelType w:val="hybridMultilevel"/>
    <w:tmpl w:val="13646340"/>
    <w:lvl w:ilvl="0" w:tplc="390CD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2254E"/>
    <w:multiLevelType w:val="hybridMultilevel"/>
    <w:tmpl w:val="6842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C4980"/>
    <w:multiLevelType w:val="hybridMultilevel"/>
    <w:tmpl w:val="FFE0C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E3512"/>
    <w:multiLevelType w:val="hybridMultilevel"/>
    <w:tmpl w:val="7F543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84FC9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8D5A36"/>
    <w:multiLevelType w:val="hybridMultilevel"/>
    <w:tmpl w:val="4812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A2DB1"/>
    <w:multiLevelType w:val="hybridMultilevel"/>
    <w:tmpl w:val="7FC8A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2738C"/>
    <w:multiLevelType w:val="hybridMultilevel"/>
    <w:tmpl w:val="A686D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E4C39"/>
    <w:multiLevelType w:val="hybridMultilevel"/>
    <w:tmpl w:val="E27EB306"/>
    <w:lvl w:ilvl="0" w:tplc="2DB26C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C13570"/>
    <w:multiLevelType w:val="hybridMultilevel"/>
    <w:tmpl w:val="EB0A88F6"/>
    <w:lvl w:ilvl="0" w:tplc="DDA6B762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9E607D"/>
    <w:multiLevelType w:val="hybridMultilevel"/>
    <w:tmpl w:val="35682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20C20"/>
    <w:multiLevelType w:val="hybridMultilevel"/>
    <w:tmpl w:val="C9BCABE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A44F75"/>
    <w:multiLevelType w:val="hybridMultilevel"/>
    <w:tmpl w:val="0D140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2A2FA0"/>
    <w:multiLevelType w:val="hybridMultilevel"/>
    <w:tmpl w:val="F28224D4"/>
    <w:lvl w:ilvl="0" w:tplc="390CD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A26D7"/>
    <w:multiLevelType w:val="hybridMultilevel"/>
    <w:tmpl w:val="7FC8A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11A9A"/>
    <w:multiLevelType w:val="hybridMultilevel"/>
    <w:tmpl w:val="25C43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73DC8"/>
    <w:multiLevelType w:val="hybridMultilevel"/>
    <w:tmpl w:val="828EF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9F64EB"/>
    <w:multiLevelType w:val="hybridMultilevel"/>
    <w:tmpl w:val="CACEE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4E5774"/>
    <w:multiLevelType w:val="hybridMultilevel"/>
    <w:tmpl w:val="7666BEE4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74610"/>
    <w:multiLevelType w:val="hybridMultilevel"/>
    <w:tmpl w:val="A328DD92"/>
    <w:lvl w:ilvl="0" w:tplc="390CD6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F0820"/>
    <w:multiLevelType w:val="hybridMultilevel"/>
    <w:tmpl w:val="E3A012C8"/>
    <w:lvl w:ilvl="0" w:tplc="5DE482F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43C76208"/>
    <w:multiLevelType w:val="hybridMultilevel"/>
    <w:tmpl w:val="7B26E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8E1F89"/>
    <w:multiLevelType w:val="hybridMultilevel"/>
    <w:tmpl w:val="A7E69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85CD4"/>
    <w:multiLevelType w:val="hybridMultilevel"/>
    <w:tmpl w:val="7B26E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C6A5F"/>
    <w:multiLevelType w:val="hybridMultilevel"/>
    <w:tmpl w:val="6B507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6739FB"/>
    <w:multiLevelType w:val="hybridMultilevel"/>
    <w:tmpl w:val="209C7E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8" w15:restartNumberingAfterBreak="0">
    <w:nsid w:val="559324B5"/>
    <w:multiLevelType w:val="hybridMultilevel"/>
    <w:tmpl w:val="C4AEC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5378D0"/>
    <w:multiLevelType w:val="hybridMultilevel"/>
    <w:tmpl w:val="4D261DD0"/>
    <w:lvl w:ilvl="0" w:tplc="5970B47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85C0964"/>
    <w:multiLevelType w:val="hybridMultilevel"/>
    <w:tmpl w:val="D5EC7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8D7DAA"/>
    <w:multiLevelType w:val="hybridMultilevel"/>
    <w:tmpl w:val="D81AF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D46B84"/>
    <w:multiLevelType w:val="hybridMultilevel"/>
    <w:tmpl w:val="0AFA7278"/>
    <w:lvl w:ilvl="0" w:tplc="42702A9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D513B0C"/>
    <w:multiLevelType w:val="hybridMultilevel"/>
    <w:tmpl w:val="FD961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3A4B18"/>
    <w:multiLevelType w:val="hybridMultilevel"/>
    <w:tmpl w:val="209C7E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45" w15:restartNumberingAfterBreak="0">
    <w:nsid w:val="649503D0"/>
    <w:multiLevelType w:val="hybridMultilevel"/>
    <w:tmpl w:val="ACCC97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A3C5C4B"/>
    <w:multiLevelType w:val="hybridMultilevel"/>
    <w:tmpl w:val="EAD2339A"/>
    <w:lvl w:ilvl="0" w:tplc="11DA26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D93559"/>
    <w:multiLevelType w:val="hybridMultilevel"/>
    <w:tmpl w:val="A7E69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F8118E"/>
    <w:multiLevelType w:val="hybridMultilevel"/>
    <w:tmpl w:val="257C72C2"/>
    <w:lvl w:ilvl="0" w:tplc="089206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D24DAD"/>
    <w:multiLevelType w:val="hybridMultilevel"/>
    <w:tmpl w:val="31FE2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FA2FB7"/>
    <w:multiLevelType w:val="hybridMultilevel"/>
    <w:tmpl w:val="01D81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477C0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DE26D5"/>
    <w:multiLevelType w:val="hybridMultilevel"/>
    <w:tmpl w:val="7B26E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390473"/>
    <w:multiLevelType w:val="hybridMultilevel"/>
    <w:tmpl w:val="DF0445A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9F0986"/>
    <w:multiLevelType w:val="hybridMultilevel"/>
    <w:tmpl w:val="389E5984"/>
    <w:lvl w:ilvl="0" w:tplc="8D7663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5B4CA0"/>
    <w:multiLevelType w:val="hybridMultilevel"/>
    <w:tmpl w:val="FCF4B5CA"/>
    <w:lvl w:ilvl="0" w:tplc="BB4626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7"/>
  </w:num>
  <w:num w:numId="3">
    <w:abstractNumId w:val="33"/>
  </w:num>
  <w:num w:numId="4">
    <w:abstractNumId w:val="36"/>
  </w:num>
  <w:num w:numId="5">
    <w:abstractNumId w:val="46"/>
  </w:num>
  <w:num w:numId="6">
    <w:abstractNumId w:val="18"/>
  </w:num>
  <w:num w:numId="7">
    <w:abstractNumId w:val="4"/>
  </w:num>
  <w:num w:numId="8">
    <w:abstractNumId w:val="37"/>
  </w:num>
  <w:num w:numId="9">
    <w:abstractNumId w:val="9"/>
  </w:num>
  <w:num w:numId="10">
    <w:abstractNumId w:val="45"/>
  </w:num>
  <w:num w:numId="11">
    <w:abstractNumId w:val="0"/>
  </w:num>
  <w:num w:numId="12">
    <w:abstractNumId w:val="30"/>
  </w:num>
  <w:num w:numId="13">
    <w:abstractNumId w:val="1"/>
  </w:num>
  <w:num w:numId="14">
    <w:abstractNumId w:val="3"/>
  </w:num>
  <w:num w:numId="15">
    <w:abstractNumId w:val="43"/>
  </w:num>
  <w:num w:numId="16">
    <w:abstractNumId w:val="49"/>
  </w:num>
  <w:num w:numId="17">
    <w:abstractNumId w:val="2"/>
  </w:num>
  <w:num w:numId="18">
    <w:abstractNumId w:val="20"/>
  </w:num>
  <w:num w:numId="19">
    <w:abstractNumId w:val="12"/>
  </w:num>
  <w:num w:numId="20">
    <w:abstractNumId w:val="13"/>
  </w:num>
  <w:num w:numId="21">
    <w:abstractNumId w:val="48"/>
  </w:num>
  <w:num w:numId="22">
    <w:abstractNumId w:val="41"/>
  </w:num>
  <w:num w:numId="23">
    <w:abstractNumId w:val="23"/>
  </w:num>
  <w:num w:numId="24">
    <w:abstractNumId w:val="16"/>
  </w:num>
  <w:num w:numId="25">
    <w:abstractNumId w:val="34"/>
  </w:num>
  <w:num w:numId="26">
    <w:abstractNumId w:val="54"/>
  </w:num>
  <w:num w:numId="27">
    <w:abstractNumId w:val="5"/>
  </w:num>
  <w:num w:numId="28">
    <w:abstractNumId w:val="47"/>
  </w:num>
  <w:num w:numId="29">
    <w:abstractNumId w:val="8"/>
  </w:num>
  <w:num w:numId="30">
    <w:abstractNumId w:val="29"/>
  </w:num>
  <w:num w:numId="31">
    <w:abstractNumId w:val="26"/>
  </w:num>
  <w:num w:numId="32">
    <w:abstractNumId w:val="22"/>
  </w:num>
  <w:num w:numId="33">
    <w:abstractNumId w:val="55"/>
  </w:num>
  <w:num w:numId="34">
    <w:abstractNumId w:val="38"/>
  </w:num>
  <w:num w:numId="35">
    <w:abstractNumId w:val="53"/>
  </w:num>
  <w:num w:numId="36">
    <w:abstractNumId w:val="14"/>
  </w:num>
  <w:num w:numId="37">
    <w:abstractNumId w:val="40"/>
  </w:num>
  <w:num w:numId="38">
    <w:abstractNumId w:val="42"/>
  </w:num>
  <w:num w:numId="39">
    <w:abstractNumId w:val="21"/>
  </w:num>
  <w:num w:numId="40">
    <w:abstractNumId w:val="39"/>
  </w:num>
  <w:num w:numId="41">
    <w:abstractNumId w:val="19"/>
  </w:num>
  <w:num w:numId="42">
    <w:abstractNumId w:val="17"/>
  </w:num>
  <w:num w:numId="43">
    <w:abstractNumId w:val="32"/>
  </w:num>
  <w:num w:numId="44">
    <w:abstractNumId w:val="15"/>
  </w:num>
  <w:num w:numId="45">
    <w:abstractNumId w:val="51"/>
  </w:num>
  <w:num w:numId="46">
    <w:abstractNumId w:val="6"/>
  </w:num>
  <w:num w:numId="47">
    <w:abstractNumId w:val="28"/>
  </w:num>
  <w:num w:numId="48">
    <w:abstractNumId w:val="25"/>
  </w:num>
  <w:num w:numId="49">
    <w:abstractNumId w:val="44"/>
  </w:num>
  <w:num w:numId="50">
    <w:abstractNumId w:val="27"/>
  </w:num>
  <w:num w:numId="51">
    <w:abstractNumId w:val="35"/>
  </w:num>
  <w:num w:numId="52">
    <w:abstractNumId w:val="52"/>
  </w:num>
  <w:num w:numId="53">
    <w:abstractNumId w:val="10"/>
  </w:num>
  <w:num w:numId="54">
    <w:abstractNumId w:val="24"/>
  </w:num>
  <w:num w:numId="55">
    <w:abstractNumId w:val="11"/>
  </w:num>
  <w:num w:numId="56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28"/>
    <w:rsid w:val="00000D86"/>
    <w:rsid w:val="000058E7"/>
    <w:rsid w:val="00013536"/>
    <w:rsid w:val="000219B9"/>
    <w:rsid w:val="00024A28"/>
    <w:rsid w:val="000357FD"/>
    <w:rsid w:val="0004660E"/>
    <w:rsid w:val="00057286"/>
    <w:rsid w:val="00066C3F"/>
    <w:rsid w:val="000A785E"/>
    <w:rsid w:val="000B0A18"/>
    <w:rsid w:val="000D78D7"/>
    <w:rsid w:val="000F7868"/>
    <w:rsid w:val="00142A03"/>
    <w:rsid w:val="001B1928"/>
    <w:rsid w:val="001F56D8"/>
    <w:rsid w:val="00204A53"/>
    <w:rsid w:val="00226BBD"/>
    <w:rsid w:val="00247678"/>
    <w:rsid w:val="002A0280"/>
    <w:rsid w:val="002A4AF0"/>
    <w:rsid w:val="00344BD2"/>
    <w:rsid w:val="00370A55"/>
    <w:rsid w:val="00390D64"/>
    <w:rsid w:val="003915A1"/>
    <w:rsid w:val="004144A9"/>
    <w:rsid w:val="00417414"/>
    <w:rsid w:val="0043742A"/>
    <w:rsid w:val="004A101F"/>
    <w:rsid w:val="004A5FF5"/>
    <w:rsid w:val="004E4524"/>
    <w:rsid w:val="0051058B"/>
    <w:rsid w:val="005441A9"/>
    <w:rsid w:val="0062454F"/>
    <w:rsid w:val="0068170D"/>
    <w:rsid w:val="006A7CEE"/>
    <w:rsid w:val="006C0F6A"/>
    <w:rsid w:val="007050E5"/>
    <w:rsid w:val="007F17F1"/>
    <w:rsid w:val="008245AD"/>
    <w:rsid w:val="008325C5"/>
    <w:rsid w:val="008939D6"/>
    <w:rsid w:val="008A07B8"/>
    <w:rsid w:val="008D1B73"/>
    <w:rsid w:val="008F3740"/>
    <w:rsid w:val="00947B80"/>
    <w:rsid w:val="00970FF7"/>
    <w:rsid w:val="009807A4"/>
    <w:rsid w:val="00984813"/>
    <w:rsid w:val="009905F1"/>
    <w:rsid w:val="009D2AF5"/>
    <w:rsid w:val="009D7AE1"/>
    <w:rsid w:val="00A078B7"/>
    <w:rsid w:val="00A1439C"/>
    <w:rsid w:val="00A15999"/>
    <w:rsid w:val="00BD5DA4"/>
    <w:rsid w:val="00BD79BD"/>
    <w:rsid w:val="00C134CF"/>
    <w:rsid w:val="00C15816"/>
    <w:rsid w:val="00C20548"/>
    <w:rsid w:val="00C75EA1"/>
    <w:rsid w:val="00CB0468"/>
    <w:rsid w:val="00CB2AC0"/>
    <w:rsid w:val="00D41D26"/>
    <w:rsid w:val="00D423E2"/>
    <w:rsid w:val="00D50502"/>
    <w:rsid w:val="00D65BA7"/>
    <w:rsid w:val="00D76175"/>
    <w:rsid w:val="00D95D33"/>
    <w:rsid w:val="00DE0F1A"/>
    <w:rsid w:val="00DF47D9"/>
    <w:rsid w:val="00E04BA2"/>
    <w:rsid w:val="00E233C5"/>
    <w:rsid w:val="00E46108"/>
    <w:rsid w:val="00E5726E"/>
    <w:rsid w:val="00E928F6"/>
    <w:rsid w:val="00ED6B72"/>
    <w:rsid w:val="00F16A59"/>
    <w:rsid w:val="00FC7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A638D7"/>
  <w15:docId w15:val="{B1A849F4-C5A2-4CAD-8FCC-46F86DDF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D7A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AE1"/>
  </w:style>
  <w:style w:type="paragraph" w:styleId="Akapitzlist">
    <w:name w:val="List Paragraph"/>
    <w:basedOn w:val="Normalny"/>
    <w:uiPriority w:val="34"/>
    <w:qFormat/>
    <w:rsid w:val="00893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70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6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5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90069-104A-4196-A8F7-7FC7BCFF8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4513</Words>
  <Characters>27080</Characters>
  <Application>Microsoft Office Word</Application>
  <DocSecurity>4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Katarzyna</dc:creator>
  <cp:lastModifiedBy>Królak-Buzakowska Joanna</cp:lastModifiedBy>
  <cp:revision>2</cp:revision>
  <dcterms:created xsi:type="dcterms:W3CDTF">2019-10-14T10:25:00Z</dcterms:created>
  <dcterms:modified xsi:type="dcterms:W3CDTF">2019-10-14T10:25:00Z</dcterms:modified>
</cp:coreProperties>
</file>